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72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申报注意事项</w:t>
      </w:r>
    </w:p>
    <w:p>
      <w:pPr>
        <w:keepNext w:val="0"/>
        <w:keepLines w:val="0"/>
        <w:pageBreakBefore w:val="0"/>
        <w:widowControl w:val="0"/>
        <w:numPr>
          <w:ilvl w:val="0"/>
          <w:numId w:val="0"/>
        </w:numPr>
        <w:kinsoku/>
        <w:wordWrap/>
        <w:overflowPunct/>
        <w:topLinePunct w:val="0"/>
        <w:autoSpaceDE/>
        <w:autoSpaceDN/>
        <w:bidi w:val="0"/>
        <w:adjustRightInd/>
        <w:snapToGrid/>
        <w:spacing w:line="720" w:lineRule="exact"/>
        <w:ind w:left="0" w:leftChars="0" w:right="0" w:rightChars="0" w:firstLine="0" w:firstLineChars="0"/>
        <w:jc w:val="center"/>
        <w:textAlignment w:val="auto"/>
        <w:outlineLvl w:val="9"/>
        <w:rPr>
          <w:rFonts w:hint="eastAsia" w:ascii="华文中宋" w:hAnsi="华文中宋" w:eastAsia="华文中宋" w:cs="华文中宋"/>
          <w:sz w:val="44"/>
          <w:szCs w:val="44"/>
          <w:lang w:eastAsia="zh-CN"/>
        </w:rPr>
      </w:pP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textAlignment w:val="auto"/>
        <w:outlineLvl w:val="9"/>
        <w:rPr>
          <w:rFonts w:hint="eastAsia" w:ascii="方正楷体_GBK" w:hAnsi="方正楷体_GBK" w:eastAsia="方正楷体_GBK" w:cs="方正楷体_GBK"/>
          <w:b w:val="0"/>
          <w:bCs/>
          <w:color w:val="000000"/>
          <w:kern w:val="0"/>
          <w:sz w:val="32"/>
          <w:szCs w:val="32"/>
        </w:rPr>
      </w:pPr>
      <w:r>
        <w:rPr>
          <w:rFonts w:hint="eastAsia" w:ascii="方正黑体_GBK" w:hAnsi="方正黑体_GBK" w:eastAsia="方正黑体_GBK" w:cs="方正黑体_GBK"/>
          <w:b w:val="0"/>
          <w:bCs/>
          <w:color w:val="000000"/>
          <w:kern w:val="0"/>
          <w:sz w:val="32"/>
          <w:szCs w:val="32"/>
          <w:lang w:eastAsia="zh-CN"/>
        </w:rPr>
        <w:t>一、</w:t>
      </w:r>
      <w:r>
        <w:rPr>
          <w:rFonts w:hint="eastAsia" w:ascii="方正黑体_GBK" w:hAnsi="方正黑体_GBK" w:eastAsia="方正黑体_GBK" w:cs="方正黑体_GBK"/>
          <w:b w:val="0"/>
          <w:bCs/>
          <w:color w:val="000000"/>
          <w:kern w:val="0"/>
          <w:sz w:val="32"/>
          <w:szCs w:val="32"/>
        </w:rPr>
        <w:t>申报</w:t>
      </w:r>
      <w:r>
        <w:rPr>
          <w:rFonts w:hint="eastAsia" w:ascii="方正黑体_GBK" w:hAnsi="方正黑体_GBK" w:eastAsia="方正黑体_GBK" w:cs="方正黑体_GBK"/>
          <w:b w:val="0"/>
          <w:bCs/>
          <w:color w:val="000000"/>
          <w:kern w:val="0"/>
          <w:sz w:val="32"/>
          <w:szCs w:val="32"/>
          <w:lang w:eastAsia="zh-CN"/>
        </w:rPr>
        <w:t>人（单位）</w:t>
      </w:r>
      <w:r>
        <w:rPr>
          <w:rFonts w:hint="eastAsia" w:ascii="方正黑体_GBK" w:hAnsi="方正黑体_GBK" w:eastAsia="方正黑体_GBK" w:cs="方正黑体_GBK"/>
          <w:b w:val="0"/>
          <w:bCs/>
          <w:color w:val="000000"/>
          <w:kern w:val="0"/>
          <w:sz w:val="32"/>
          <w:szCs w:val="32"/>
        </w:rPr>
        <w:t>注意事项</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rPr>
        <w:t>如实填写相关信息，申报表中所有项目不能空白。其中，联系</w:t>
      </w:r>
      <w:r>
        <w:rPr>
          <w:rFonts w:hint="eastAsia" w:ascii="方正仿宋_GBK" w:hAnsi="方正仿宋_GBK" w:eastAsia="方正仿宋_GBK" w:cs="方正仿宋_GBK"/>
          <w:sz w:val="32"/>
          <w:szCs w:val="32"/>
          <w:lang w:eastAsia="zh-CN"/>
        </w:rPr>
        <w:t>电话</w:t>
      </w:r>
      <w:r>
        <w:rPr>
          <w:rFonts w:hint="eastAsia" w:ascii="方正仿宋_GBK" w:hAnsi="方正仿宋_GBK" w:eastAsia="方正仿宋_GBK" w:cs="方正仿宋_GBK"/>
          <w:sz w:val="32"/>
          <w:szCs w:val="32"/>
        </w:rPr>
        <w:t>必须填写本人</w:t>
      </w:r>
      <w:r>
        <w:rPr>
          <w:rFonts w:hint="eastAsia" w:ascii="方正仿宋_GBK" w:hAnsi="方正仿宋_GBK" w:eastAsia="方正仿宋_GBK" w:cs="方正仿宋_GBK"/>
          <w:sz w:val="32"/>
          <w:szCs w:val="32"/>
          <w:u w:val="single" w:color="auto"/>
        </w:rPr>
        <w:t>手机号码</w:t>
      </w:r>
      <w:r>
        <w:rPr>
          <w:rFonts w:hint="eastAsia" w:ascii="方正仿宋_GBK" w:hAnsi="方正仿宋_GBK" w:eastAsia="方正仿宋_GBK" w:cs="方正仿宋_GBK"/>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lang w:eastAsia="zh-CN"/>
        </w:rPr>
        <w:t>认真</w:t>
      </w:r>
      <w:r>
        <w:rPr>
          <w:rFonts w:hint="eastAsia" w:ascii="方正仿宋_GBK" w:hAnsi="方正仿宋_GBK" w:eastAsia="方正仿宋_GBK" w:cs="方正仿宋_GBK"/>
          <w:sz w:val="32"/>
          <w:szCs w:val="32"/>
        </w:rPr>
        <w:t>核实</w:t>
      </w:r>
      <w:r>
        <w:rPr>
          <w:rFonts w:hint="eastAsia" w:ascii="方正仿宋_GBK" w:hAnsi="方正仿宋_GBK" w:eastAsia="方正仿宋_GBK" w:cs="方正仿宋_GBK"/>
          <w:sz w:val="32"/>
          <w:szCs w:val="32"/>
          <w:u w:val="single" w:color="auto"/>
        </w:rPr>
        <w:t>电子版和纸质版材料</w:t>
      </w:r>
      <w:r>
        <w:rPr>
          <w:rFonts w:hint="eastAsia" w:ascii="方正仿宋_GBK" w:hAnsi="方正仿宋_GBK" w:eastAsia="方正仿宋_GBK" w:cs="方正仿宋_GBK"/>
          <w:sz w:val="32"/>
          <w:szCs w:val="32"/>
          <w:u w:val="single" w:color="auto"/>
          <w:lang w:eastAsia="zh-CN"/>
        </w:rPr>
        <w:t>是否相符，编排顺序是否一致</w:t>
      </w:r>
      <w:r>
        <w:rPr>
          <w:rFonts w:hint="eastAsia" w:ascii="方正仿宋_GBK" w:hAnsi="方正仿宋_GBK" w:eastAsia="方正仿宋_GBK" w:cs="方正仿宋_GBK"/>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3.准确把握申报条件，其中要特别留意以下条件：</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000000"/>
          <w:sz w:val="32"/>
          <w:szCs w:val="32"/>
          <w:lang w:eastAsia="zh-CN"/>
        </w:rPr>
      </w:pPr>
      <w:r>
        <w:rPr>
          <w:rFonts w:hint="eastAsia" w:ascii="方正仿宋_GBK" w:hAnsi="方正仿宋_GBK" w:eastAsia="方正仿宋_GBK" w:cs="方正仿宋_GBK"/>
          <w:color w:val="000000"/>
          <w:sz w:val="32"/>
          <w:szCs w:val="32"/>
          <w:lang w:val="en-US" w:eastAsia="zh-CN"/>
        </w:rPr>
        <w:t>优秀共青团员：</w:t>
      </w:r>
      <w:r>
        <w:rPr>
          <w:rFonts w:hint="eastAsia" w:ascii="方正仿宋_GBK" w:hAnsi="方正仿宋_GBK" w:eastAsia="方正仿宋_GBK" w:cs="方正仿宋_GBK"/>
          <w:color w:val="000000"/>
          <w:sz w:val="32"/>
          <w:szCs w:val="32"/>
          <w:lang w:eastAsia="zh-CN"/>
        </w:rPr>
        <w:t>专职团干部以及</w:t>
      </w:r>
      <w:r>
        <w:rPr>
          <w:rFonts w:hint="eastAsia" w:ascii="方正仿宋_GBK" w:hAnsi="方正仿宋_GBK" w:eastAsia="方正仿宋_GBK" w:cs="方正仿宋_GBK"/>
          <w:color w:val="000000"/>
          <w:sz w:val="32"/>
          <w:szCs w:val="32"/>
          <w:lang w:val="en-US" w:eastAsia="zh-CN"/>
        </w:rPr>
        <w:t>1993年4月1日至2007年4月1日以外</w:t>
      </w:r>
      <w:r>
        <w:rPr>
          <w:rFonts w:hint="eastAsia" w:ascii="方正仿宋_GBK" w:hAnsi="方正仿宋_GBK" w:eastAsia="方正仿宋_GBK" w:cs="方正仿宋_GBK"/>
          <w:color w:val="000000"/>
          <w:sz w:val="32"/>
          <w:szCs w:val="32"/>
        </w:rPr>
        <w:t>出生的共青团员均</w:t>
      </w:r>
      <w:r>
        <w:rPr>
          <w:rFonts w:hint="eastAsia" w:ascii="方正仿宋_GBK" w:hAnsi="方正仿宋_GBK" w:eastAsia="方正仿宋_GBK" w:cs="方正仿宋_GBK"/>
          <w:color w:val="000000"/>
          <w:sz w:val="32"/>
          <w:szCs w:val="32"/>
          <w:u w:val="single" w:color="auto"/>
        </w:rPr>
        <w:t>不参加</w:t>
      </w:r>
      <w:r>
        <w:rPr>
          <w:rFonts w:hint="eastAsia" w:ascii="方正仿宋_GBK" w:hAnsi="方正仿宋_GBK" w:eastAsia="方正仿宋_GBK" w:cs="方正仿宋_GBK"/>
          <w:color w:val="000000"/>
          <w:sz w:val="32"/>
          <w:szCs w:val="32"/>
        </w:rPr>
        <w:t>评选</w:t>
      </w:r>
      <w:r>
        <w:rPr>
          <w:rFonts w:hint="eastAsia" w:ascii="方正仿宋_GBK" w:hAnsi="方正仿宋_GBK" w:eastAsia="方正仿宋_GBK" w:cs="方正仿宋_GBK"/>
          <w:color w:val="000000"/>
          <w:sz w:val="32"/>
          <w:szCs w:val="32"/>
          <w:lang w:eastAsia="zh-CN"/>
        </w:rPr>
        <w:t>；申报名额分配表中，中学</w:t>
      </w:r>
      <w:r>
        <w:rPr>
          <w:rFonts w:hint="eastAsia" w:ascii="方正仿宋_GBK" w:hAnsi="方正仿宋_GBK" w:eastAsia="方正仿宋_GBK" w:cs="方正仿宋_GBK"/>
          <w:color w:val="000000"/>
          <w:sz w:val="32"/>
          <w:szCs w:val="32"/>
          <w:lang w:val="en-US" w:eastAsia="zh-CN"/>
        </w:rPr>
        <w:t>的</w:t>
      </w:r>
      <w:r>
        <w:rPr>
          <w:rFonts w:hint="eastAsia" w:ascii="方正仿宋_GBK" w:hAnsi="方正仿宋_GBK" w:eastAsia="方正仿宋_GBK" w:cs="方正仿宋_GBK"/>
          <w:color w:val="000000"/>
          <w:sz w:val="32"/>
          <w:szCs w:val="32"/>
          <w:lang w:eastAsia="zh-CN"/>
        </w:rPr>
        <w:t>名额（寻找“最美南粤少年”活动）中产生，</w:t>
      </w:r>
      <w:r>
        <w:rPr>
          <w:rFonts w:hint="eastAsia" w:ascii="方正仿宋_GBK" w:hAnsi="方正仿宋_GBK" w:eastAsia="方正仿宋_GBK" w:cs="方正仿宋_GBK"/>
          <w:color w:val="000000"/>
          <w:sz w:val="32"/>
          <w:szCs w:val="32"/>
          <w:lang w:val="en-US" w:eastAsia="zh-CN"/>
        </w:rPr>
        <w:t>各综合名额、专项名额之间不互相占用</w:t>
      </w:r>
      <w:r>
        <w:rPr>
          <w:rFonts w:hint="eastAsia" w:ascii="方正仿宋_GBK" w:hAnsi="方正仿宋_GBK" w:eastAsia="方正仿宋_GBK" w:cs="方正仿宋_GBK"/>
          <w:color w:val="00000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000000"/>
          <w:sz w:val="32"/>
          <w:szCs w:val="32"/>
          <w:u w:val="none" w:color="auto"/>
          <w:lang w:eastAsia="zh-CN"/>
        </w:rPr>
      </w:pPr>
      <w:r>
        <w:rPr>
          <w:rFonts w:hint="eastAsia" w:ascii="方正仿宋_GBK" w:hAnsi="方正仿宋_GBK" w:eastAsia="方正仿宋_GBK" w:cs="方正仿宋_GBK"/>
          <w:color w:val="000000"/>
          <w:sz w:val="32"/>
          <w:szCs w:val="32"/>
          <w:lang w:val="en-US" w:eastAsia="zh-CN"/>
        </w:rPr>
        <w:t>优秀共青团干部：</w:t>
      </w:r>
      <w:r>
        <w:rPr>
          <w:rFonts w:hint="eastAsia" w:ascii="方正仿宋_GBK" w:hAnsi="方正仿宋_GBK" w:eastAsia="方正仿宋_GBK" w:cs="方正仿宋_GBK"/>
          <w:color w:val="000000"/>
          <w:sz w:val="32"/>
          <w:szCs w:val="32"/>
        </w:rPr>
        <w:t>地市级团委班子成员</w:t>
      </w:r>
      <w:r>
        <w:rPr>
          <w:rFonts w:hint="eastAsia" w:ascii="方正仿宋_GBK" w:hAnsi="方正仿宋_GBK" w:eastAsia="方正仿宋_GBK" w:cs="方正仿宋_GBK"/>
          <w:color w:val="000000"/>
          <w:sz w:val="32"/>
          <w:szCs w:val="32"/>
          <w:u w:val="single" w:color="auto"/>
        </w:rPr>
        <w:t>不参加</w:t>
      </w:r>
      <w:r>
        <w:rPr>
          <w:rFonts w:hint="eastAsia" w:ascii="方正仿宋_GBK" w:hAnsi="方正仿宋_GBK" w:eastAsia="方正仿宋_GBK" w:cs="方正仿宋_GBK"/>
          <w:color w:val="000000"/>
          <w:sz w:val="32"/>
          <w:szCs w:val="32"/>
        </w:rPr>
        <w:t>评选</w:t>
      </w:r>
      <w:r>
        <w:rPr>
          <w:rFonts w:hint="eastAsia" w:ascii="方正仿宋_GBK" w:hAnsi="方正仿宋_GBK" w:eastAsia="方正仿宋_GBK" w:cs="方正仿宋_GBK"/>
          <w:color w:val="000000"/>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000000"/>
          <w:sz w:val="32"/>
          <w:szCs w:val="32"/>
          <w:u w:val="none" w:color="auto"/>
          <w:lang w:val="en-US" w:eastAsia="zh-CN"/>
        </w:rPr>
      </w:pPr>
      <w:r>
        <w:rPr>
          <w:rFonts w:hint="eastAsia" w:ascii="方正仿宋_GBK" w:hAnsi="方正仿宋_GBK" w:eastAsia="方正仿宋_GBK" w:cs="方正仿宋_GBK"/>
          <w:color w:val="000000"/>
          <w:sz w:val="32"/>
          <w:szCs w:val="32"/>
          <w:u w:val="none" w:color="auto"/>
          <w:lang w:val="en-US" w:eastAsia="zh-CN"/>
        </w:rPr>
        <w:t>4.团龄、团干部工作时间均截止2021年4月1日，所获荣誉应为2016年1月以后。</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textAlignment w:val="auto"/>
        <w:outlineLvl w:val="9"/>
        <w:rPr>
          <w:rFonts w:hint="eastAsia" w:ascii="方正黑体_GBK" w:hAnsi="方正黑体_GBK" w:eastAsia="方正黑体_GBK" w:cs="方正黑体_GBK"/>
          <w:b w:val="0"/>
          <w:bCs/>
          <w:color w:val="000000"/>
          <w:kern w:val="0"/>
          <w:sz w:val="32"/>
          <w:szCs w:val="32"/>
          <w:lang w:eastAsia="zh-CN"/>
        </w:rPr>
      </w:pPr>
      <w:r>
        <w:rPr>
          <w:rFonts w:hint="eastAsia" w:ascii="方正黑体_GBK" w:hAnsi="方正黑体_GBK" w:eastAsia="方正黑体_GBK" w:cs="方正黑体_GBK"/>
          <w:b w:val="0"/>
          <w:bCs/>
          <w:color w:val="000000"/>
          <w:kern w:val="0"/>
          <w:sz w:val="32"/>
          <w:szCs w:val="32"/>
          <w:lang w:eastAsia="zh-CN"/>
        </w:rPr>
        <w:t>二、各</w:t>
      </w:r>
      <w:r>
        <w:rPr>
          <w:rFonts w:hint="eastAsia" w:ascii="方正黑体_GBK" w:hAnsi="方正黑体_GBK" w:eastAsia="方正黑体_GBK" w:cs="方正黑体_GBK"/>
          <w:b w:val="0"/>
          <w:bCs/>
          <w:color w:val="000000"/>
          <w:kern w:val="0"/>
          <w:sz w:val="32"/>
          <w:szCs w:val="32"/>
          <w:lang w:val="en-US" w:eastAsia="zh-CN"/>
        </w:rPr>
        <w:t>院级</w:t>
      </w:r>
      <w:r>
        <w:rPr>
          <w:rFonts w:hint="eastAsia" w:ascii="方正黑体_GBK" w:hAnsi="方正黑体_GBK" w:eastAsia="方正黑体_GBK" w:cs="方正黑体_GBK"/>
          <w:b w:val="0"/>
          <w:bCs/>
          <w:color w:val="000000"/>
          <w:kern w:val="0"/>
          <w:sz w:val="32"/>
          <w:szCs w:val="32"/>
          <w:lang w:eastAsia="zh-CN"/>
        </w:rPr>
        <w:t>团委及有关单位推报注意事项</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3" w:firstLineChars="200"/>
        <w:textAlignment w:val="auto"/>
        <w:outlineLvl w:val="9"/>
        <w:rPr>
          <w:rFonts w:hint="eastAsia" w:ascii="仿宋_GB2312" w:hAnsi="仿宋_GB2312" w:eastAsia="仿宋_GB2312" w:cs="仿宋_GB2312"/>
          <w:b/>
          <w:bCs/>
          <w:sz w:val="32"/>
          <w:szCs w:val="32"/>
          <w:u w:val="single" w:color="auto"/>
          <w:lang w:val="en-US" w:eastAsia="zh-CN"/>
        </w:rPr>
      </w:pPr>
      <w:r>
        <w:rPr>
          <w:rFonts w:hint="eastAsia" w:ascii="方正仿宋_GBK" w:hAnsi="方正仿宋_GBK" w:eastAsia="方正仿宋_GBK" w:cs="方正仿宋_GBK"/>
          <w:b/>
          <w:bCs/>
          <w:sz w:val="32"/>
          <w:szCs w:val="32"/>
          <w:u w:val="single" w:color="auto"/>
          <w:lang w:val="en-US" w:eastAsia="zh-CN"/>
        </w:rPr>
        <w:t>（非常重要）</w:t>
      </w:r>
      <w:r>
        <w:rPr>
          <w:rFonts w:hint="eastAsia" w:ascii="方正仿宋_GBK" w:hAnsi="方正仿宋_GBK" w:eastAsia="方正仿宋_GBK" w:cs="方正仿宋_GBK"/>
          <w:sz w:val="32"/>
          <w:szCs w:val="32"/>
          <w:u w:val="single" w:color="auto"/>
          <w:lang w:val="en-US" w:eastAsia="zh-CN"/>
        </w:rPr>
        <w:t>1.各地各单位在推报时一定要按照要求认真填写推荐申报各奖项个人与单位的汇总表（文件夹建立样板中的</w:t>
      </w:r>
      <w:r>
        <w:rPr>
          <w:rFonts w:hint="eastAsia" w:ascii="方正仿宋_GBK" w:hAnsi="方正仿宋_GBK" w:eastAsia="方正仿宋_GBK" w:cs="方正仿宋_GBK"/>
          <w:b/>
          <w:bCs/>
          <w:color w:val="000000"/>
          <w:kern w:val="0"/>
          <w:sz w:val="32"/>
          <w:szCs w:val="32"/>
          <w:u w:val="single" w:color="auto"/>
          <w:lang w:val="en-US" w:eastAsia="zh-CN"/>
        </w:rPr>
        <w:t>“2020-2021年度广东省两红两优申报汇总表”</w:t>
      </w:r>
      <w:r>
        <w:rPr>
          <w:rFonts w:hint="eastAsia" w:ascii="方正仿宋_GBK" w:hAnsi="方正仿宋_GBK" w:eastAsia="方正仿宋_GBK" w:cs="方正仿宋_GBK"/>
          <w:sz w:val="32"/>
          <w:szCs w:val="32"/>
          <w:u w:val="single" w:color="auto"/>
          <w:lang w:val="en-US" w:eastAsia="zh-CN"/>
        </w:rPr>
        <w:t>），表内的以往获得奖项请控制在</w:t>
      </w:r>
      <w:r>
        <w:rPr>
          <w:rFonts w:hint="eastAsia" w:ascii="方正仿宋_GBK" w:hAnsi="方正仿宋_GBK" w:eastAsia="方正仿宋_GBK" w:cs="方正仿宋_GBK"/>
          <w:color w:val="FF0000"/>
          <w:sz w:val="32"/>
          <w:szCs w:val="32"/>
          <w:u w:val="single" w:color="auto"/>
          <w:lang w:val="en-US" w:eastAsia="zh-CN"/>
        </w:rPr>
        <w:t>200字</w:t>
      </w:r>
      <w:r>
        <w:rPr>
          <w:rFonts w:hint="eastAsia" w:ascii="方正仿宋_GBK" w:hAnsi="方正仿宋_GBK" w:eastAsia="方正仿宋_GBK" w:cs="方正仿宋_GBK"/>
          <w:sz w:val="32"/>
          <w:szCs w:val="32"/>
          <w:u w:val="single" w:color="auto"/>
          <w:lang w:val="en-US" w:eastAsia="zh-CN"/>
        </w:rPr>
        <w:t>以内。</w:t>
      </w:r>
    </w:p>
    <w:p>
      <w:pPr>
        <w:keepNext w:val="0"/>
        <w:keepLines w:val="0"/>
        <w:pageBreakBefore w:val="0"/>
        <w:numPr>
          <w:ilvl w:val="0"/>
          <w:numId w:val="1"/>
        </w:numPr>
        <w:kinsoku/>
        <w:wordWrap/>
        <w:overflowPunct/>
        <w:topLinePunct w:val="0"/>
        <w:autoSpaceDE/>
        <w:autoSpaceDN/>
        <w:bidi w:val="0"/>
        <w:adjustRightInd/>
        <w:snapToGrid/>
        <w:spacing w:line="52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u w:val="none" w:color="auto"/>
          <w:lang w:val="en-US" w:eastAsia="zh-CN"/>
        </w:rPr>
      </w:pPr>
      <w:r>
        <w:rPr>
          <w:rFonts w:hint="eastAsia" w:ascii="方正仿宋_GBK" w:hAnsi="方正仿宋_GBK" w:eastAsia="方正仿宋_GBK" w:cs="方正仿宋_GBK"/>
          <w:sz w:val="32"/>
          <w:szCs w:val="32"/>
          <w:u w:val="none" w:color="auto"/>
          <w:lang w:val="en-US" w:eastAsia="zh-CN"/>
        </w:rPr>
        <w:t>“分类统计表”请注明各类群体团员、团干、团委、团支部推报数目及所属群体占有比例。</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textAlignment w:val="auto"/>
        <w:outlineLvl w:val="9"/>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b w:val="0"/>
          <w:bCs/>
          <w:color w:val="000000"/>
          <w:kern w:val="0"/>
          <w:sz w:val="32"/>
          <w:szCs w:val="32"/>
          <w:lang w:val="en-US" w:eastAsia="zh-CN"/>
        </w:rPr>
        <w:t>3.</w:t>
      </w:r>
      <w:r>
        <w:rPr>
          <w:rFonts w:hint="eastAsia" w:ascii="方正仿宋_GBK" w:hAnsi="方正仿宋_GBK" w:eastAsia="方正仿宋_GBK" w:cs="方正仿宋_GBK"/>
          <w:sz w:val="32"/>
          <w:szCs w:val="32"/>
          <w:lang w:val="en-US" w:eastAsia="zh-CN"/>
        </w:rPr>
        <w:t>按申报通知要求和以上注意事项认真核对。</w:t>
      </w:r>
    </w:p>
    <w:p>
      <w:pPr>
        <w:keepNext w:val="0"/>
        <w:keepLines w:val="0"/>
        <w:pageBreakBefore w:val="0"/>
        <w:numPr>
          <w:ilvl w:val="0"/>
          <w:numId w:val="0"/>
        </w:numPr>
        <w:kinsoku/>
        <w:wordWrap/>
        <w:overflowPunct/>
        <w:topLinePunct w:val="0"/>
        <w:autoSpaceDE/>
        <w:autoSpaceDN/>
        <w:bidi w:val="0"/>
        <w:adjustRightInd/>
        <w:snapToGrid/>
        <w:spacing w:line="520" w:lineRule="exact"/>
        <w:ind w:left="0" w:leftChars="0" w:right="0" w:rightChars="0" w:firstLine="640" w:firstLineChars="200"/>
        <w:textAlignment w:val="auto"/>
        <w:outlineLvl w:val="9"/>
        <w:rPr>
          <w:rFonts w:hint="eastAsia" w:ascii="仿宋_GB2312" w:hAnsi="仿宋_GB2312" w:eastAsia="仿宋_GB2312" w:cs="仿宋_GB2312"/>
          <w:sz w:val="32"/>
          <w:szCs w:val="32"/>
        </w:rPr>
      </w:pPr>
      <w:r>
        <w:rPr>
          <w:rFonts w:hint="eastAsia" w:ascii="方正仿宋_GBK" w:hAnsi="方正仿宋_GBK" w:eastAsia="方正仿宋_GBK" w:cs="方正仿宋_GBK"/>
          <w:sz w:val="32"/>
          <w:szCs w:val="32"/>
          <w:lang w:val="en-US" w:eastAsia="zh-CN"/>
        </w:rPr>
        <w:t>4.推报材料需汇总后于</w:t>
      </w:r>
      <w:r>
        <w:rPr>
          <w:rFonts w:hint="eastAsia" w:ascii="方正仿宋_GBK" w:hAnsi="方正仿宋_GBK" w:eastAsia="方正仿宋_GBK" w:cs="方正仿宋_GBK"/>
          <w:color w:val="FF0000"/>
          <w:sz w:val="32"/>
          <w:szCs w:val="32"/>
          <w:u w:val="single" w:color="auto"/>
          <w:lang w:val="en-US" w:eastAsia="zh-CN"/>
        </w:rPr>
        <w:t>3月19日上午12：00</w:t>
      </w:r>
      <w:r>
        <w:rPr>
          <w:rFonts w:hint="eastAsia" w:ascii="方正仿宋_GBK" w:hAnsi="方正仿宋_GBK" w:eastAsia="方正仿宋_GBK" w:cs="方正仿宋_GBK"/>
          <w:sz w:val="32"/>
          <w:szCs w:val="32"/>
          <w:lang w:val="en-US" w:eastAsia="zh-CN"/>
        </w:rPr>
        <w:t>前上报。逾期不报、材料不全的，视为自动放弃，一律不予补报。申报材料</w:t>
      </w:r>
      <w:r>
        <w:rPr>
          <w:rFonts w:hint="eastAsia" w:ascii="方正仿宋_GBK" w:hAnsi="方正仿宋_GBK" w:eastAsia="方正仿宋_GBK" w:cs="方正仿宋_GBK"/>
          <w:sz w:val="32"/>
          <w:szCs w:val="32"/>
          <w:u w:val="none" w:color="auto"/>
          <w:lang w:val="en-US" w:eastAsia="zh-CN"/>
        </w:rPr>
        <w:t>禁止过度包装</w:t>
      </w:r>
      <w:r>
        <w:rPr>
          <w:rFonts w:hint="eastAsia" w:ascii="方正仿宋_GBK" w:hAnsi="方正仿宋_GBK" w:eastAsia="方正仿宋_GBK" w:cs="方正仿宋_GBK"/>
          <w:sz w:val="32"/>
          <w:szCs w:val="32"/>
          <w:lang w:val="en-US" w:eastAsia="zh-CN"/>
        </w:rPr>
        <w:t>，普通A4纸黑白打印即可。</w:t>
      </w:r>
      <w:bookmarkStart w:id="0" w:name="_GoBack"/>
      <w:bookmarkEnd w:id="0"/>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3" w:firstLineChars="200"/>
        <w:jc w:val="left"/>
        <w:textAlignment w:val="auto"/>
        <w:outlineLvl w:val="9"/>
        <w:rPr>
          <w:rFonts w:hint="eastAsia" w:ascii="方正仿宋_GBK" w:hAnsi="方正仿宋_GBK" w:eastAsia="方正仿宋_GBK" w:cs="方正仿宋_GBK"/>
          <w:b/>
          <w:bCs/>
          <w:color w:val="000000"/>
          <w:kern w:val="0"/>
          <w:sz w:val="32"/>
          <w:szCs w:val="32"/>
          <w:lang w:val="en-US" w:eastAsia="zh-CN"/>
        </w:rPr>
      </w:pPr>
      <w:r>
        <w:rPr>
          <w:rFonts w:hint="eastAsia" w:ascii="方正仿宋_GBK" w:hAnsi="方正仿宋_GBK" w:eastAsia="方正仿宋_GBK" w:cs="方正仿宋_GBK"/>
          <w:b/>
          <w:bCs/>
          <w:color w:val="000000"/>
          <w:kern w:val="0"/>
          <w:sz w:val="32"/>
          <w:szCs w:val="32"/>
          <w:lang w:val="en-US" w:eastAsia="zh-CN"/>
        </w:rPr>
        <w:t>5.申报材料需要排序的，请推报单位在汇总表里标注。</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黑体_GBK" w:hAnsi="方正黑体_GBK" w:eastAsia="方正黑体_GBK" w:cs="方正黑体_GBK"/>
          <w:b w:val="0"/>
          <w:bCs w:val="0"/>
          <w:color w:val="000000"/>
          <w:kern w:val="0"/>
          <w:sz w:val="32"/>
          <w:szCs w:val="32"/>
          <w:lang w:val="en-US" w:eastAsia="zh-CN"/>
        </w:rPr>
      </w:pPr>
      <w:r>
        <w:rPr>
          <w:rFonts w:hint="eastAsia" w:ascii="方正黑体_GBK" w:hAnsi="方正黑体_GBK" w:eastAsia="方正黑体_GBK" w:cs="方正黑体_GBK"/>
          <w:b w:val="0"/>
          <w:bCs w:val="0"/>
          <w:color w:val="000000"/>
          <w:kern w:val="0"/>
          <w:sz w:val="32"/>
          <w:szCs w:val="32"/>
          <w:lang w:val="en-US" w:eastAsia="zh-CN"/>
        </w:rPr>
        <w:t>三、填表说明</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楷体_GBK" w:hAnsi="方正楷体_GBK" w:eastAsia="方正楷体_GBK" w:cs="方正楷体_GBK"/>
          <w:color w:val="000000"/>
          <w:kern w:val="0"/>
          <w:sz w:val="32"/>
          <w:szCs w:val="32"/>
          <w:lang w:val="en-US" w:eastAsia="zh-CN"/>
        </w:rPr>
      </w:pPr>
      <w:r>
        <w:rPr>
          <w:rFonts w:hint="eastAsia" w:ascii="方正楷体_GBK" w:hAnsi="方正楷体_GBK" w:eastAsia="方正楷体_GBK" w:cs="方正楷体_GBK"/>
          <w:color w:val="000000"/>
          <w:kern w:val="0"/>
          <w:sz w:val="32"/>
          <w:szCs w:val="32"/>
          <w:lang w:val="en-US" w:eastAsia="zh-CN"/>
        </w:rPr>
        <w:t>（一）关于申报单位名称和个人的填写</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1.填写原则</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一是所在地域要从市级行政区划写起，一直写到申报人（申报单位）所在层级的行政区划，基本的格式为“地级市+市辖区、县级市、县名称+乡镇、街道名称+村、社区名称+所在单位名称+身份职务名称（团组织名称）”。其中，如果所在地区为县级市，则不用写地市级行政单位名称；如果单位是军队、中央企业或者高等院校，不用填写所在地域名称，直接写单位名称，其他各类单位的所在区域名称要写到对应的层级，如：省属企业要冠以省份名称，县级中学要冠以所在省份、地市和县区的名称。</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both"/>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二是所有行政区划名称和单位名称都要用规范全称，如：“中国移动通信集团广东有限公司”。</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仿宋_GB2312" w:hAnsi="仿宋_GB2312" w:eastAsia="仿宋_GB2312" w:cs="仿宋_GB2312"/>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三是单位有多个层级的，要从最高层级的名称写起，直到申报人或申报单位的名称，如：“中国人民武装警察部队广东省总队惠州市支队博罗县中队团支部”。</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2.填写格式范例</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一般情况：所属行政区域+工作单位+身份职务，如××市××县××局办公室科员；××市××区××街道团工委书记。</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普通高校：高校全称+院系+专业+班级，如：××大学××院系××专业××班团支部副书记；××大学××院系××专业××班团支部。</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普通中学：所属行政区划名称+学校名称+班级名称+身份职务（团组织名称），如：××市××县××中学××班学生；××市××市××中学团委。</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中职、技工学校：地市+学校全称+专业+班级，如××市××学校××专业××班学生；××市××学校××专业××团支部。</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中央企业：××集团公司××有限责任公司××分公司××工作岗位；××集团公司××有限责任公司××分公司团委。</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地方企业及非公企业：所属行政区域名称+××集团公司××有限责任公司××分公司××工作岗位；所属行政区域名称+××集团公司××有限责任公司××分公司团支部。</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三支一扶计划：××省××县××乡××工作人员（三支一扶志愿者）。</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大学生村官：××市××县××乡镇××村主任助理（大学生村官）。</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楷体_GBK" w:hAnsi="方正楷体_GBK" w:eastAsia="方正楷体_GBK" w:cs="方正楷体_GBK"/>
          <w:color w:val="000000"/>
          <w:kern w:val="0"/>
          <w:sz w:val="32"/>
          <w:szCs w:val="32"/>
          <w:lang w:val="en-US" w:eastAsia="zh-CN"/>
        </w:rPr>
      </w:pPr>
      <w:r>
        <w:rPr>
          <w:rFonts w:hint="eastAsia" w:ascii="方正楷体_GBK" w:hAnsi="方正楷体_GBK" w:eastAsia="方正楷体_GBK" w:cs="方正楷体_GBK"/>
          <w:color w:val="000000"/>
          <w:kern w:val="0"/>
          <w:sz w:val="32"/>
          <w:szCs w:val="32"/>
          <w:lang w:val="en-US" w:eastAsia="zh-CN"/>
        </w:rPr>
        <w:t>（二）关于奖励和荣誉的填写</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1.</w:t>
      </w:r>
      <w:r>
        <w:rPr>
          <w:rFonts w:hint="eastAsia" w:ascii="方正仿宋_GBK" w:hAnsi="方正仿宋_GBK" w:eastAsia="方正仿宋_GBK" w:cs="方正仿宋_GBK"/>
          <w:color w:val="FF0000"/>
          <w:kern w:val="0"/>
          <w:sz w:val="32"/>
          <w:szCs w:val="32"/>
          <w:lang w:val="en-US" w:eastAsia="zh-CN"/>
        </w:rPr>
        <w:t>奖励情况只填写市级及以上表彰</w:t>
      </w:r>
      <w:r>
        <w:rPr>
          <w:rFonts w:hint="eastAsia" w:ascii="方正仿宋_GBK" w:hAnsi="方正仿宋_GBK" w:eastAsia="方正仿宋_GBK" w:cs="方正仿宋_GBK"/>
          <w:color w:val="000000"/>
          <w:kern w:val="0"/>
          <w:sz w:val="32"/>
          <w:szCs w:val="32"/>
          <w:lang w:val="en-US" w:eastAsia="zh-CN"/>
        </w:rPr>
        <w:t>。市级团委表彰的奖项，应该是市级团委主办或协办的综合类奖项，</w:t>
      </w:r>
      <w:r>
        <w:rPr>
          <w:rFonts w:hint="eastAsia" w:ascii="方正仿宋_GBK" w:hAnsi="方正仿宋_GBK" w:eastAsia="方正仿宋_GBK" w:cs="方正仿宋_GBK"/>
          <w:b/>
          <w:bCs/>
          <w:color w:val="000000"/>
          <w:kern w:val="0"/>
          <w:sz w:val="32"/>
          <w:szCs w:val="32"/>
          <w:lang w:val="en-US" w:eastAsia="zh-CN"/>
        </w:rPr>
        <w:t>不包括竞赛类、提名奖</w:t>
      </w:r>
      <w:r>
        <w:rPr>
          <w:rFonts w:hint="eastAsia" w:ascii="方正仿宋_GBK" w:hAnsi="方正仿宋_GBK" w:eastAsia="方正仿宋_GBK" w:cs="方正仿宋_GBK"/>
          <w:color w:val="000000"/>
          <w:kern w:val="0"/>
          <w:sz w:val="32"/>
          <w:szCs w:val="32"/>
          <w:lang w:val="en-US" w:eastAsia="zh-CN"/>
        </w:rPr>
        <w:t>。非市级团委表彰的奖项，应是市级其他部门表彰的</w:t>
      </w:r>
      <w:r>
        <w:rPr>
          <w:rFonts w:hint="eastAsia" w:ascii="方正仿宋_GBK" w:hAnsi="方正仿宋_GBK" w:eastAsia="方正仿宋_GBK" w:cs="方正仿宋_GBK"/>
          <w:b/>
          <w:bCs/>
          <w:color w:val="000000"/>
          <w:kern w:val="0"/>
          <w:sz w:val="32"/>
          <w:szCs w:val="32"/>
          <w:lang w:val="en-US" w:eastAsia="zh-CN"/>
        </w:rPr>
        <w:t>综合类</w:t>
      </w:r>
      <w:r>
        <w:rPr>
          <w:rFonts w:hint="eastAsia" w:ascii="方正仿宋_GBK" w:hAnsi="方正仿宋_GBK" w:eastAsia="方正仿宋_GBK" w:cs="方正仿宋_GBK"/>
          <w:color w:val="000000"/>
          <w:kern w:val="0"/>
          <w:sz w:val="32"/>
          <w:szCs w:val="32"/>
          <w:lang w:val="en-US" w:eastAsia="zh-CN"/>
        </w:rPr>
        <w:t>奖项，如市三好学生。</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2.纸质版材料应附上相关的</w:t>
      </w:r>
      <w:r>
        <w:rPr>
          <w:rFonts w:hint="eastAsia" w:ascii="方正仿宋_GBK" w:hAnsi="方正仿宋_GBK" w:eastAsia="方正仿宋_GBK" w:cs="方正仿宋_GBK"/>
          <w:color w:val="000000"/>
          <w:kern w:val="0"/>
          <w:sz w:val="32"/>
          <w:szCs w:val="32"/>
          <w:u w:val="single"/>
          <w:lang w:val="en-US" w:eastAsia="zh-CN"/>
        </w:rPr>
        <w:t>荣誉证书</w:t>
      </w:r>
      <w:r>
        <w:rPr>
          <w:rFonts w:hint="eastAsia" w:ascii="方正仿宋_GBK" w:hAnsi="方正仿宋_GBK" w:eastAsia="方正仿宋_GBK" w:cs="方正仿宋_GBK"/>
          <w:color w:val="000000"/>
          <w:kern w:val="0"/>
          <w:sz w:val="32"/>
          <w:szCs w:val="32"/>
          <w:lang w:val="en-US" w:eastAsia="zh-CN"/>
        </w:rPr>
        <w:t>和</w:t>
      </w:r>
      <w:r>
        <w:rPr>
          <w:rFonts w:hint="eastAsia" w:ascii="方正仿宋_GBK" w:hAnsi="方正仿宋_GBK" w:eastAsia="方正仿宋_GBK" w:cs="方正仿宋_GBK"/>
          <w:color w:val="000000"/>
          <w:kern w:val="0"/>
          <w:sz w:val="32"/>
          <w:szCs w:val="32"/>
          <w:u w:val="single"/>
          <w:lang w:val="en-US" w:eastAsia="zh-CN"/>
        </w:rPr>
        <w:t>换届文件</w:t>
      </w:r>
      <w:r>
        <w:rPr>
          <w:rFonts w:hint="eastAsia" w:ascii="方正仿宋_GBK" w:hAnsi="方正仿宋_GBK" w:eastAsia="方正仿宋_GBK" w:cs="方正仿宋_GBK"/>
          <w:color w:val="000000"/>
          <w:kern w:val="0"/>
          <w:sz w:val="32"/>
          <w:szCs w:val="32"/>
          <w:lang w:val="en-US" w:eastAsia="zh-CN"/>
        </w:rPr>
        <w:t>复印件，电子版材料应附上相关的</w:t>
      </w:r>
      <w:r>
        <w:rPr>
          <w:rFonts w:hint="eastAsia" w:ascii="方正仿宋_GBK" w:hAnsi="方正仿宋_GBK" w:eastAsia="方正仿宋_GBK" w:cs="方正仿宋_GBK"/>
          <w:color w:val="000000"/>
          <w:kern w:val="0"/>
          <w:sz w:val="32"/>
          <w:szCs w:val="32"/>
          <w:u w:val="single"/>
          <w:lang w:val="en-US" w:eastAsia="zh-CN"/>
        </w:rPr>
        <w:t>荣誉证书</w:t>
      </w:r>
      <w:r>
        <w:rPr>
          <w:rFonts w:hint="eastAsia" w:ascii="方正仿宋_GBK" w:hAnsi="方正仿宋_GBK" w:eastAsia="方正仿宋_GBK" w:cs="方正仿宋_GBK"/>
          <w:color w:val="000000"/>
          <w:kern w:val="0"/>
          <w:sz w:val="32"/>
          <w:szCs w:val="32"/>
          <w:lang w:val="en-US" w:eastAsia="zh-CN"/>
        </w:rPr>
        <w:t>和</w:t>
      </w:r>
      <w:r>
        <w:rPr>
          <w:rFonts w:hint="eastAsia" w:ascii="方正仿宋_GBK" w:hAnsi="方正仿宋_GBK" w:eastAsia="方正仿宋_GBK" w:cs="方正仿宋_GBK"/>
          <w:color w:val="000000"/>
          <w:kern w:val="0"/>
          <w:sz w:val="32"/>
          <w:szCs w:val="32"/>
          <w:u w:val="single"/>
          <w:lang w:val="en-US" w:eastAsia="zh-CN"/>
        </w:rPr>
        <w:t>换届文件</w:t>
      </w:r>
      <w:r>
        <w:rPr>
          <w:rFonts w:hint="eastAsia" w:ascii="方正仿宋_GBK" w:hAnsi="方正仿宋_GBK" w:eastAsia="方正仿宋_GBK" w:cs="方正仿宋_GBK"/>
          <w:color w:val="000000"/>
          <w:kern w:val="0"/>
          <w:sz w:val="32"/>
          <w:szCs w:val="32"/>
          <w:u w:val="none"/>
          <w:lang w:val="en-US" w:eastAsia="zh-CN"/>
        </w:rPr>
        <w:t>扫描</w:t>
      </w:r>
      <w:r>
        <w:rPr>
          <w:rFonts w:hint="eastAsia" w:ascii="方正仿宋_GBK" w:hAnsi="方正仿宋_GBK" w:eastAsia="方正仿宋_GBK" w:cs="方正仿宋_GBK"/>
          <w:color w:val="000000"/>
          <w:kern w:val="0"/>
          <w:sz w:val="32"/>
          <w:szCs w:val="32"/>
          <w:lang w:val="en-US" w:eastAsia="zh-CN"/>
        </w:rPr>
        <w:t>件。</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仿宋_GB2312" w:hAnsi="仿宋_GB2312" w:eastAsia="仿宋_GB2312" w:cs="仿宋_GB2312"/>
          <w:color w:val="000000"/>
          <w:kern w:val="0"/>
          <w:sz w:val="32"/>
          <w:szCs w:val="32"/>
          <w:lang w:val="en-US" w:eastAsia="zh-CN"/>
        </w:rPr>
      </w:pPr>
      <w:r>
        <w:rPr>
          <w:rFonts w:hint="eastAsia" w:ascii="方正楷体_GBK" w:hAnsi="方正楷体_GBK" w:eastAsia="方正楷体_GBK" w:cs="方正楷体_GBK"/>
          <w:color w:val="000000"/>
          <w:kern w:val="0"/>
          <w:sz w:val="32"/>
          <w:szCs w:val="32"/>
          <w:lang w:val="en-US" w:eastAsia="zh-CN"/>
        </w:rPr>
        <w:t>（三）关于通讯地址和联系方式的填写</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1.通讯地址需填写完整，所有行政区划名称、单位名称都要用规范全称，如：广州市白云区××路××号××单位。</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2.在填写联系电话的同时也可加注QQ号、微信号等网络通讯联系方式。</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楷体_GBK" w:hAnsi="方正楷体_GBK" w:eastAsia="方正楷体_GBK" w:cs="方正楷体_GBK"/>
          <w:color w:val="000000"/>
          <w:kern w:val="0"/>
          <w:sz w:val="32"/>
          <w:szCs w:val="32"/>
          <w:lang w:val="en-US" w:eastAsia="zh-CN"/>
        </w:rPr>
      </w:pPr>
      <w:r>
        <w:rPr>
          <w:rFonts w:hint="eastAsia" w:ascii="方正楷体_GBK" w:hAnsi="方正楷体_GBK" w:eastAsia="方正楷体_GBK" w:cs="方正楷体_GBK"/>
          <w:color w:val="000000"/>
          <w:kern w:val="0"/>
          <w:sz w:val="32"/>
          <w:szCs w:val="32"/>
          <w:lang w:val="en-US" w:eastAsia="zh-CN"/>
        </w:rPr>
        <w:t>（四）关于广东“智慧团建”系统数据的查询</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1.平均业务及时响应率查询办法</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各类申报表中的“平均业务及时响应率”一栏，申报人（单位）需登录广东“智慧团建”系统查询“本级及下级及时响应率”并计算得出。</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drawing>
          <wp:anchor distT="0" distB="0" distL="114300" distR="114300" simplePos="0" relativeHeight="251660288" behindDoc="1" locked="0" layoutInCell="1" allowOverlap="1">
            <wp:simplePos x="0" y="0"/>
            <wp:positionH relativeFrom="column">
              <wp:posOffset>-50800</wp:posOffset>
            </wp:positionH>
            <wp:positionV relativeFrom="paragraph">
              <wp:posOffset>121285</wp:posOffset>
            </wp:positionV>
            <wp:extent cx="5752465" cy="2742565"/>
            <wp:effectExtent l="0" t="0" r="635" b="635"/>
            <wp:wrapNone/>
            <wp:docPr id="2" name="图片 2" descr="c234fc33dd7941cec22a2ed0fcbaf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234fc33dd7941cec22a2ed0fcbaffb"/>
                    <pic:cNvPicPr>
                      <a:picLocks noChangeAspect="1"/>
                    </pic:cNvPicPr>
                  </pic:nvPicPr>
                  <pic:blipFill>
                    <a:blip r:embed="rId5"/>
                    <a:stretch>
                      <a:fillRect/>
                    </a:stretch>
                  </pic:blipFill>
                  <pic:spPr>
                    <a:xfrm>
                      <a:off x="0" y="0"/>
                      <a:ext cx="5752465" cy="2742565"/>
                    </a:xfrm>
                    <a:prstGeom prst="rect">
                      <a:avLst/>
                    </a:prstGeom>
                  </pic:spPr>
                </pic:pic>
              </a:graphicData>
            </a:graphic>
          </wp:anchor>
        </w:drawing>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如图所示，点击数据统计模块，查看到本级及下级团组织2020年1月至2021年3月“本级及下级业务响应率”数据，按照以下公式计算得出“平均业务及时响应率”：</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pict>
          <v:shape id="_x0000_s1026" o:spid="_x0000_s1026" o:spt="75" type="#_x0000_t75" style="position:absolute;left:0pt;margin-left:26pt;margin-top:15.9pt;height:39pt;width:382pt;z-index:251660288;mso-width-relative:page;mso-height-relative:page;" o:ole="t" filled="f" o:preferrelative="t" stroked="f" coordsize="21600,21600">
            <v:path/>
            <v:fill on="f" focussize="0,0"/>
            <v:stroke on="f"/>
            <v:imagedata r:id="rId7" o:title=""/>
            <o:lock v:ext="edit" aspectratio="t"/>
          </v:shape>
          <o:OLEObject Type="Embed" ProgID="Equation.KSEE3" ShapeID="_x0000_s1026" DrawAspect="Content" ObjectID="_1468075725" r:id="rId6">
            <o:LockedField>false</o:LockedField>
          </o:OLEObject>
        </w:pic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注意：</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1）申报人（单位）所在团组织查询的每个月数据中，如“需响应申请总数”为零，则该月的“及时响应率”不纳入计算范围。如：XX团总支2020年1月的需响应申请总数为0，则按照公式直接计算其他月份的及时响应率平均值即可。</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2）推报单位须对申报人（单位）的平均业务及时响应率进行二次核准，在系统“查看组织树”模块找到申报人（单位）所在团组织，双击打开组织详情，点击“本级及所有下级团组织的数据分析表”，即可查询并计算平均业务及时响应率。</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2.团员连续3个月未交团费比例查询办法</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各类申报表中的“团员连续3个月未交团费比例”一栏，申报人（单位）需登录广东“智慧团建”系统点击“团费查询”即可查询“连续3个月未交团费团员数”。</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drawing>
          <wp:anchor distT="0" distB="0" distL="114300" distR="114300" simplePos="0" relativeHeight="251661312" behindDoc="1" locked="0" layoutInCell="1" allowOverlap="1">
            <wp:simplePos x="0" y="0"/>
            <wp:positionH relativeFrom="column">
              <wp:posOffset>-100965</wp:posOffset>
            </wp:positionH>
            <wp:positionV relativeFrom="paragraph">
              <wp:posOffset>159385</wp:posOffset>
            </wp:positionV>
            <wp:extent cx="5767705" cy="2614295"/>
            <wp:effectExtent l="0" t="0" r="4445" b="14605"/>
            <wp:wrapNone/>
            <wp:docPr id="5" name="图片 5" descr="16152719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615271955(1)"/>
                    <pic:cNvPicPr>
                      <a:picLocks noChangeAspect="1"/>
                    </pic:cNvPicPr>
                  </pic:nvPicPr>
                  <pic:blipFill>
                    <a:blip r:embed="rId8"/>
                    <a:stretch>
                      <a:fillRect/>
                    </a:stretch>
                  </pic:blipFill>
                  <pic:spPr>
                    <a:xfrm>
                      <a:off x="0" y="0"/>
                      <a:ext cx="5767705" cy="2614295"/>
                    </a:xfrm>
                    <a:prstGeom prst="rect">
                      <a:avLst/>
                    </a:prstGeom>
                  </pic:spPr>
                </pic:pic>
              </a:graphicData>
            </a:graphic>
          </wp:anchor>
        </w:drawing>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3.团组织“两制”完成情况查询办法</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统计表中的“团员教育评议与年度团籍注册”一栏，各级团组织登录广东“智慧团建”系统点击“数据统计”—“团员教育评议及年度注册数据统计”即可查询团员教育评议结果及年度团籍注册情况。</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drawing>
          <wp:anchor distT="0" distB="0" distL="114300" distR="114300" simplePos="0" relativeHeight="251662336" behindDoc="1" locked="0" layoutInCell="1" allowOverlap="1">
            <wp:simplePos x="0" y="0"/>
            <wp:positionH relativeFrom="column">
              <wp:posOffset>-155575</wp:posOffset>
            </wp:positionH>
            <wp:positionV relativeFrom="paragraph">
              <wp:posOffset>74930</wp:posOffset>
            </wp:positionV>
            <wp:extent cx="6029325" cy="2463165"/>
            <wp:effectExtent l="0" t="0" r="9525" b="13335"/>
            <wp:wrapNone/>
            <wp:docPr id="6" name="图片 6" descr="16152730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615273009(1)"/>
                    <pic:cNvPicPr>
                      <a:picLocks noChangeAspect="1"/>
                    </pic:cNvPicPr>
                  </pic:nvPicPr>
                  <pic:blipFill>
                    <a:blip r:embed="rId9"/>
                    <a:stretch>
                      <a:fillRect/>
                    </a:stretch>
                  </pic:blipFill>
                  <pic:spPr>
                    <a:xfrm>
                      <a:off x="0" y="0"/>
                      <a:ext cx="6029325" cy="2463165"/>
                    </a:xfrm>
                    <a:prstGeom prst="rect">
                      <a:avLst/>
                    </a:prstGeom>
                  </pic:spPr>
                </pic:pic>
              </a:graphicData>
            </a:graphic>
          </wp:anchor>
        </w:drawing>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drawing>
          <wp:anchor distT="0" distB="0" distL="114300" distR="114300" simplePos="0" relativeHeight="251663360" behindDoc="1" locked="0" layoutInCell="1" allowOverlap="1">
            <wp:simplePos x="0" y="0"/>
            <wp:positionH relativeFrom="column">
              <wp:posOffset>-123825</wp:posOffset>
            </wp:positionH>
            <wp:positionV relativeFrom="paragraph">
              <wp:posOffset>1257300</wp:posOffset>
            </wp:positionV>
            <wp:extent cx="6034405" cy="2484755"/>
            <wp:effectExtent l="0" t="0" r="4445" b="10795"/>
            <wp:wrapNone/>
            <wp:docPr id="7" name="图片 7" descr="1615273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615273244(1)"/>
                    <pic:cNvPicPr>
                      <a:picLocks noChangeAspect="1"/>
                    </pic:cNvPicPr>
                  </pic:nvPicPr>
                  <pic:blipFill>
                    <a:blip r:embed="rId10"/>
                    <a:stretch>
                      <a:fillRect/>
                    </a:stretch>
                  </pic:blipFill>
                  <pic:spPr>
                    <a:xfrm>
                      <a:off x="0" y="0"/>
                      <a:ext cx="6034405" cy="2484755"/>
                    </a:xfrm>
                    <a:prstGeom prst="rect">
                      <a:avLst/>
                    </a:prstGeom>
                  </pic:spPr>
                </pic:pic>
              </a:graphicData>
            </a:graphic>
          </wp:anchor>
        </w:drawing>
      </w:r>
      <w:r>
        <w:rPr>
          <w:rFonts w:hint="eastAsia" w:ascii="方正仿宋_GBK" w:hAnsi="方正仿宋_GBK" w:eastAsia="方正仿宋_GBK" w:cs="方正仿宋_GBK"/>
          <w:color w:val="000000"/>
          <w:kern w:val="0"/>
          <w:sz w:val="32"/>
          <w:szCs w:val="32"/>
          <w:lang w:val="en-US" w:eastAsia="zh-CN"/>
        </w:rPr>
        <w:t>团员团员教育评议及年度注册结果，各级团组织可登录广东“智慧团建”系统点击“组织管理”—“年度评议”即可查询团员教育评议结果及年度团籍注册结果。</w:t>
      </w:r>
      <w:r>
        <w:rPr>
          <w:rFonts w:hint="eastAsia" w:ascii="方正仿宋_GBK" w:hAnsi="方正仿宋_GBK" w:eastAsia="方正仿宋_GBK" w:cs="方正仿宋_GBK"/>
          <w:color w:val="000000"/>
          <w:kern w:val="0"/>
          <w:sz w:val="32"/>
          <w:szCs w:val="32"/>
          <w:lang w:val="en-US" w:eastAsia="zh-CN"/>
        </w:rPr>
        <w:br w:type="page"/>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4.团（总）支部“对标定级”完成情况查询办法</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eastAsia"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t>统计表中的“团（总）支部“对标定级”完成情况”一栏，各级团组织登录广东“智慧团建”系统点击“组织管理”—“直接下级”—“下级数据统计”即可查询团（总）支部“对标定级”完成情况。</w:t>
      </w:r>
    </w:p>
    <w:p>
      <w:pPr>
        <w:keepNext w:val="0"/>
        <w:keepLines w:val="0"/>
        <w:pageBreakBefore w:val="0"/>
        <w:widowControl/>
        <w:kinsoku/>
        <w:wordWrap/>
        <w:overflowPunct/>
        <w:topLinePunct w:val="0"/>
        <w:autoSpaceDE/>
        <w:autoSpaceDN/>
        <w:bidi w:val="0"/>
        <w:adjustRightInd/>
        <w:snapToGrid/>
        <w:spacing w:line="520" w:lineRule="exact"/>
        <w:ind w:left="0" w:leftChars="0" w:right="0" w:rightChars="0" w:firstLine="640" w:firstLineChars="200"/>
        <w:jc w:val="left"/>
        <w:textAlignment w:val="auto"/>
        <w:outlineLvl w:val="9"/>
        <w:rPr>
          <w:rFonts w:hint="default" w:ascii="方正仿宋_GBK" w:hAnsi="方正仿宋_GBK" w:eastAsia="方正仿宋_GBK" w:cs="方正仿宋_GBK"/>
          <w:color w:val="000000"/>
          <w:kern w:val="0"/>
          <w:sz w:val="32"/>
          <w:szCs w:val="32"/>
          <w:lang w:val="en-US" w:eastAsia="zh-CN"/>
        </w:rPr>
      </w:pPr>
      <w:r>
        <w:rPr>
          <w:rFonts w:hint="eastAsia" w:ascii="方正仿宋_GBK" w:hAnsi="方正仿宋_GBK" w:eastAsia="方正仿宋_GBK" w:cs="方正仿宋_GBK"/>
          <w:color w:val="000000"/>
          <w:kern w:val="0"/>
          <w:sz w:val="32"/>
          <w:szCs w:val="32"/>
          <w:lang w:val="en-US" w:eastAsia="zh-CN"/>
        </w:rPr>
        <w:drawing>
          <wp:anchor distT="0" distB="0" distL="114300" distR="114300" simplePos="0" relativeHeight="251665408" behindDoc="1" locked="0" layoutInCell="1" allowOverlap="1">
            <wp:simplePos x="0" y="0"/>
            <wp:positionH relativeFrom="column">
              <wp:posOffset>-38100</wp:posOffset>
            </wp:positionH>
            <wp:positionV relativeFrom="paragraph">
              <wp:posOffset>116205</wp:posOffset>
            </wp:positionV>
            <wp:extent cx="5541010" cy="3401695"/>
            <wp:effectExtent l="0" t="0" r="2540" b="8255"/>
            <wp:wrapNone/>
            <wp:docPr id="9" name="图片 9" descr="16152745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1615274542(1)"/>
                    <pic:cNvPicPr>
                      <a:picLocks noChangeAspect="1"/>
                    </pic:cNvPicPr>
                  </pic:nvPicPr>
                  <pic:blipFill>
                    <a:blip r:embed="rId11"/>
                    <a:stretch>
                      <a:fillRect/>
                    </a:stretch>
                  </pic:blipFill>
                  <pic:spPr>
                    <a:xfrm>
                      <a:off x="0" y="0"/>
                      <a:ext cx="5541010" cy="3401695"/>
                    </a:xfrm>
                    <a:prstGeom prst="rect">
                      <a:avLst/>
                    </a:prstGeom>
                  </pic:spPr>
                </pic:pic>
              </a:graphicData>
            </a:graphic>
          </wp:anchor>
        </w:drawing>
      </w:r>
      <w:r>
        <w:rPr>
          <w:rFonts w:hint="eastAsia" w:ascii="方正仿宋_GBK" w:hAnsi="方正仿宋_GBK" w:eastAsia="方正仿宋_GBK" w:cs="方正仿宋_GBK"/>
          <w:color w:val="000000"/>
          <w:kern w:val="0"/>
          <w:sz w:val="32"/>
          <w:szCs w:val="32"/>
          <w:lang w:val="en-US" w:eastAsia="zh-CN"/>
        </w:rPr>
        <w:drawing>
          <wp:anchor distT="0" distB="0" distL="114300" distR="114300" simplePos="0" relativeHeight="251666432" behindDoc="1" locked="0" layoutInCell="1" allowOverlap="1">
            <wp:simplePos x="0" y="0"/>
            <wp:positionH relativeFrom="column">
              <wp:posOffset>-76200</wp:posOffset>
            </wp:positionH>
            <wp:positionV relativeFrom="paragraph">
              <wp:posOffset>3737610</wp:posOffset>
            </wp:positionV>
            <wp:extent cx="5531485" cy="2091055"/>
            <wp:effectExtent l="0" t="0" r="12065" b="4445"/>
            <wp:wrapNone/>
            <wp:docPr id="11" name="图片 11" descr="16152747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615274726(1)"/>
                    <pic:cNvPicPr>
                      <a:picLocks noChangeAspect="1"/>
                    </pic:cNvPicPr>
                  </pic:nvPicPr>
                  <pic:blipFill>
                    <a:blip r:embed="rId12"/>
                    <a:stretch>
                      <a:fillRect/>
                    </a:stretch>
                  </pic:blipFill>
                  <pic:spPr>
                    <a:xfrm>
                      <a:off x="0" y="0"/>
                      <a:ext cx="5531485" cy="2091055"/>
                    </a:xfrm>
                    <a:prstGeom prst="rect">
                      <a:avLst/>
                    </a:prstGeom>
                  </pic:spPr>
                </pic:pic>
              </a:graphicData>
            </a:graphic>
          </wp:anchor>
        </w:drawing>
      </w:r>
    </w:p>
    <w:sectPr>
      <w:footerReference r:id="rId3" w:type="default"/>
      <w:pgSz w:w="11906" w:h="16838"/>
      <w:pgMar w:top="1440" w:right="1587" w:bottom="1440" w:left="1587"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方正大标宋简体">
    <w:altName w:val="微软雅黑"/>
    <w:panose1 w:val="02010601030101010101"/>
    <w:charset w:val="86"/>
    <w:family w:val="auto"/>
    <w:pitch w:val="default"/>
    <w:sig w:usb0="00000000" w:usb1="00000000" w:usb2="00000010" w:usb3="00000000" w:csb0="00040000"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宋体"/>
                              <w:sz w:val="1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snapToGrid w:val="0"/>
                      <w:rPr>
                        <w:rFonts w:hint="eastAsia" w:eastAsia="宋体"/>
                        <w:sz w:val="18"/>
                        <w:lang w:eastAsia="zh-CN"/>
                      </w:rPr>
                    </w:pP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A"/>
    <w:multiLevelType w:val="singleLevel"/>
    <w:tmpl w:val="0000000A"/>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992385"/>
    <w:rsid w:val="00D077A1"/>
    <w:rsid w:val="0276532A"/>
    <w:rsid w:val="02E60221"/>
    <w:rsid w:val="0A4D7314"/>
    <w:rsid w:val="12690377"/>
    <w:rsid w:val="145570BA"/>
    <w:rsid w:val="16012AE8"/>
    <w:rsid w:val="16EC2A0F"/>
    <w:rsid w:val="1C510467"/>
    <w:rsid w:val="1E515FC7"/>
    <w:rsid w:val="1E805483"/>
    <w:rsid w:val="252F09B4"/>
    <w:rsid w:val="2B2A1AE0"/>
    <w:rsid w:val="3C7B0F1A"/>
    <w:rsid w:val="3DEE0F8B"/>
    <w:rsid w:val="404C5D09"/>
    <w:rsid w:val="41056AD8"/>
    <w:rsid w:val="41395202"/>
    <w:rsid w:val="420C63B4"/>
    <w:rsid w:val="44721C27"/>
    <w:rsid w:val="469937FD"/>
    <w:rsid w:val="47F02BB0"/>
    <w:rsid w:val="49CF5CD6"/>
    <w:rsid w:val="4AB23F2C"/>
    <w:rsid w:val="4E785639"/>
    <w:rsid w:val="536929E5"/>
    <w:rsid w:val="57F42612"/>
    <w:rsid w:val="5C451F6F"/>
    <w:rsid w:val="60B94403"/>
    <w:rsid w:val="61992385"/>
    <w:rsid w:val="63212DE2"/>
    <w:rsid w:val="64881EDA"/>
    <w:rsid w:val="67995465"/>
    <w:rsid w:val="6DAF6D08"/>
    <w:rsid w:val="6F0D648D"/>
    <w:rsid w:val="6F805CC4"/>
    <w:rsid w:val="7D382B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link w:val="8"/>
    <w:semiHidden/>
    <w:qFormat/>
    <w:uiPriority w:val="0"/>
    <w:rPr>
      <w:rFonts w:ascii="Tahoma" w:hAnsi="Tahoma"/>
      <w:sz w:val="24"/>
      <w:szCs w:val="20"/>
    </w:rPr>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adjustRightInd w:val="0"/>
      <w:spacing w:line="312" w:lineRule="atLeast"/>
      <w:ind w:firstLine="432"/>
      <w:textAlignment w:val="baseline"/>
    </w:pPr>
    <w:rPr>
      <w:kern w:val="0"/>
      <w:szCs w:val="20"/>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itle"/>
    <w:basedOn w:val="1"/>
    <w:next w:val="1"/>
    <w:qFormat/>
    <w:uiPriority w:val="10"/>
    <w:pPr>
      <w:spacing w:line="520" w:lineRule="exact"/>
      <w:jc w:val="center"/>
      <w:outlineLvl w:val="0"/>
    </w:pPr>
    <w:rPr>
      <w:rFonts w:ascii="方正大标宋简体" w:hAnsi="方正大标宋简体" w:eastAsia="方正大标宋简体"/>
      <w:bCs/>
      <w:sz w:val="44"/>
      <w:szCs w:val="32"/>
    </w:rPr>
  </w:style>
  <w:style w:type="paragraph" w:customStyle="1" w:styleId="8">
    <w:name w:val="Char"/>
    <w:basedOn w:val="1"/>
    <w:link w:val="7"/>
    <w:qFormat/>
    <w:uiPriority w:val="0"/>
    <w:rPr>
      <w:rFonts w:ascii="Tahoma" w:hAnsi="Tahoma"/>
      <w:sz w:val="24"/>
      <w:szCs w:val="20"/>
    </w:rPr>
  </w:style>
  <w:style w:type="character" w:styleId="9">
    <w:name w:val="Hyperlink"/>
    <w:basedOn w:val="7"/>
    <w:qFormat/>
    <w:uiPriority w:val="0"/>
    <w:rPr>
      <w:color w:val="000000"/>
      <w:u w:val="none"/>
    </w:rPr>
  </w:style>
  <w:style w:type="paragraph" w:customStyle="1" w:styleId="10">
    <w:name w:val="_Style 3"/>
    <w:basedOn w:val="1"/>
    <w:link w:val="7"/>
    <w:qFormat/>
    <w:uiPriority w:val="0"/>
    <w:pPr>
      <w:widowControl/>
      <w:spacing w:after="160" w:afterLines="0" w:line="240" w:lineRule="exact"/>
      <w:jc w:val="left"/>
    </w:p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wmf"/><Relationship Id="rId6" Type="http://schemas.openxmlformats.org/officeDocument/2006/relationships/oleObject" Target="embeddings/oleObject1.bin"/><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省共青团广东省委</Company>
  <Pages>1</Pages>
  <Words>0</Words>
  <Characters>0</Characters>
  <Lines>0</Lines>
  <Paragraphs>0</Paragraphs>
  <TotalTime>8</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2019-02-21T13:23:00Z</dcterms:created>
  <dc:creator>Administrator</dc:creator>
  <cp:lastModifiedBy>✨ 橘子 ✨</cp:lastModifiedBy>
  <cp:lastPrinted>2021-03-09T03:09:00Z</cp:lastPrinted>
  <dcterms:modified xsi:type="dcterms:W3CDTF">2021-03-12T08:37:45Z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KSOSaveFontToCloudKey">
    <vt:lpwstr>199739328_cloud</vt:lpwstr>
  </property>
</Properties>
</file>