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4F" w:rsidRPr="000B506D" w:rsidRDefault="00DF7E4F" w:rsidP="00DF7E4F">
      <w:pPr>
        <w:spacing w:line="460" w:lineRule="exact"/>
        <w:rPr>
          <w:rFonts w:ascii="黑体" w:eastAsia="黑体" w:hAnsi="宋体"/>
          <w:sz w:val="32"/>
          <w:szCs w:val="32"/>
        </w:rPr>
      </w:pPr>
      <w:r w:rsidRPr="000B506D">
        <w:rPr>
          <w:rFonts w:ascii="黑体" w:eastAsia="黑体" w:hAnsi="宋体" w:hint="eastAsia"/>
          <w:sz w:val="32"/>
          <w:szCs w:val="32"/>
        </w:rPr>
        <w:t>附件</w:t>
      </w:r>
    </w:p>
    <w:p w:rsidR="00DF7E4F" w:rsidRPr="005956DE" w:rsidRDefault="00DF7E4F" w:rsidP="00DF7E4F">
      <w:pPr>
        <w:jc w:val="center"/>
        <w:rPr>
          <w:rFonts w:ascii="宋体" w:hAnsi="宋体"/>
          <w:b/>
          <w:sz w:val="44"/>
          <w:szCs w:val="44"/>
        </w:rPr>
      </w:pPr>
      <w:r w:rsidRPr="005956DE">
        <w:rPr>
          <w:rFonts w:ascii="宋体" w:hAnsi="宋体" w:hint="eastAsia"/>
          <w:b/>
          <w:sz w:val="44"/>
          <w:szCs w:val="44"/>
        </w:rPr>
        <w:t>广东石油化工学院货物采购廉政风险防控运行</w:t>
      </w:r>
      <w:r>
        <w:rPr>
          <w:rFonts w:ascii="宋体" w:hAnsi="宋体" w:hint="eastAsia"/>
          <w:b/>
          <w:sz w:val="44"/>
          <w:szCs w:val="44"/>
        </w:rPr>
        <w:t>流程</w:t>
      </w:r>
      <w:r w:rsidRPr="005956DE">
        <w:rPr>
          <w:rFonts w:ascii="宋体" w:hAnsi="宋体" w:hint="eastAsia"/>
          <w:b/>
          <w:sz w:val="44"/>
          <w:szCs w:val="44"/>
        </w:rPr>
        <w:t>图</w:t>
      </w:r>
    </w:p>
    <w:p w:rsidR="00DF7E4F" w:rsidRDefault="00134050" w:rsidP="00DF7E4F">
      <w:pPr>
        <w:jc w:val="left"/>
        <w:rPr>
          <w:rFonts w:ascii="宋体" w:hAnsi="宋体"/>
          <w:b/>
          <w:sz w:val="36"/>
          <w:szCs w:val="36"/>
        </w:rPr>
      </w:pPr>
      <w:r w:rsidRPr="00134050">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2" type="#_x0000_t176" style="position:absolute;margin-left:65.7pt;margin-top:10.5pt;width:201.7pt;height:45.75pt;z-index:3">
            <v:textbox style="mso-next-textbox:#_x0000_s2052" inset=".5mm,.3mm,.5mm,.3mm">
              <w:txbxContent>
                <w:p w:rsidR="00F57EBE" w:rsidRPr="00DB365C" w:rsidRDefault="00F57EBE" w:rsidP="00DF7E4F">
                  <w:pPr>
                    <w:spacing w:line="260" w:lineRule="exact"/>
                    <w:rPr>
                      <w:rFonts w:ascii="宋体" w:hAnsi="宋体"/>
                      <w:sz w:val="18"/>
                      <w:szCs w:val="18"/>
                    </w:rPr>
                  </w:pPr>
                  <w:r w:rsidRPr="00DB365C">
                    <w:rPr>
                      <w:rFonts w:ascii="宋体" w:hAnsi="宋体" w:hint="eastAsia"/>
                      <w:sz w:val="18"/>
                      <w:szCs w:val="18"/>
                    </w:rPr>
                    <w:t>风险点：货物申购单位（部门）以某一品牌产品的质量要求作为技术要求、未经批准，临时性变更采购计划以及其他不符合招标文件的各种要求。</w:t>
                  </w:r>
                </w:p>
              </w:txbxContent>
            </v:textbox>
          </v:shape>
        </w:pict>
      </w:r>
      <w:r w:rsidRPr="00134050">
        <w:rPr>
          <w:noProof/>
        </w:rPr>
        <w:pict>
          <v:shape id="_x0000_s2054" type="#_x0000_t176" style="position:absolute;margin-left:289.8pt;margin-top:11.4pt;width:309.4pt;height:48pt;z-index:5">
            <v:textbox style="mso-next-textbox:#_x0000_s2054" inset=".5mm,.3mm,.5mm,.3mm">
              <w:txbxContent>
                <w:p w:rsidR="00F57EBE" w:rsidRPr="00DB365C" w:rsidRDefault="00F57EBE" w:rsidP="00DF7E4F">
                  <w:pPr>
                    <w:spacing w:line="260" w:lineRule="exact"/>
                    <w:rPr>
                      <w:rFonts w:ascii="宋体" w:hAnsi="宋体"/>
                      <w:sz w:val="18"/>
                      <w:szCs w:val="18"/>
                    </w:rPr>
                  </w:pPr>
                  <w:r w:rsidRPr="00DB365C">
                    <w:rPr>
                      <w:rFonts w:ascii="宋体" w:hAnsi="宋体" w:hint="eastAsia"/>
                      <w:sz w:val="18"/>
                      <w:szCs w:val="18"/>
                    </w:rPr>
                    <w:t>防控措施：货物申购单位</w:t>
                  </w:r>
                  <w:r>
                    <w:rPr>
                      <w:rFonts w:ascii="宋体" w:hAnsi="宋体" w:hint="eastAsia"/>
                      <w:sz w:val="18"/>
                      <w:szCs w:val="18"/>
                    </w:rPr>
                    <w:t>(</w:t>
                  </w:r>
                  <w:r>
                    <w:rPr>
                      <w:rFonts w:ascii="宋体" w:hAnsi="宋体" w:hint="eastAsia"/>
                      <w:sz w:val="18"/>
                      <w:szCs w:val="18"/>
                    </w:rPr>
                    <w:t>部门)</w:t>
                  </w:r>
                  <w:r w:rsidRPr="00DB365C">
                    <w:rPr>
                      <w:rFonts w:ascii="宋体" w:hAnsi="宋体" w:hint="eastAsia"/>
                      <w:sz w:val="18"/>
                      <w:szCs w:val="18"/>
                    </w:rPr>
                    <w:t>严格按照国家法律法规和学校招标文件，根据实际情况，合理编制货物采购文件，控制经费预算。学校招标投标工作领导小组将对货物采购计划进行审核，确保技术指标和商务要求的设定为共性。</w:t>
                  </w:r>
                </w:p>
              </w:txbxContent>
            </v:textbox>
          </v:shape>
        </w:pict>
      </w:r>
      <w:r w:rsidRPr="00134050">
        <w:rPr>
          <w:noProof/>
        </w:rPr>
        <w:pict>
          <v:shape id="_x0000_s2056" type="#_x0000_t176" style="position:absolute;margin-left:620.6pt;margin-top:14.25pt;width:79.6pt;height:40.5pt;z-index:7">
            <v:textbox style="mso-next-textbox:#_x0000_s2056" inset=".5mm,.3mm,.5mm,.3mm">
              <w:txbxContent>
                <w:p w:rsidR="00F57EBE" w:rsidRPr="00DB365C" w:rsidRDefault="00F57EBE" w:rsidP="00DF7E4F">
                  <w:pPr>
                    <w:spacing w:line="300" w:lineRule="exact"/>
                    <w:rPr>
                      <w:rFonts w:ascii="宋体" w:hAnsi="宋体"/>
                      <w:sz w:val="18"/>
                      <w:szCs w:val="18"/>
                    </w:rPr>
                  </w:pPr>
                  <w:r w:rsidRPr="00DB365C">
                    <w:rPr>
                      <w:rFonts w:ascii="宋体" w:hAnsi="宋体" w:hint="eastAsia"/>
                      <w:sz w:val="18"/>
                      <w:szCs w:val="18"/>
                    </w:rPr>
                    <w:t>责任人：货物申购单位</w:t>
                  </w:r>
                  <w:r>
                    <w:rPr>
                      <w:rFonts w:ascii="宋体" w:hAnsi="宋体" w:hint="eastAsia"/>
                      <w:sz w:val="18"/>
                      <w:szCs w:val="18"/>
                    </w:rPr>
                    <w:t>(</w:t>
                  </w:r>
                  <w:r>
                    <w:rPr>
                      <w:rFonts w:ascii="宋体" w:hAnsi="宋体" w:hint="eastAsia"/>
                      <w:sz w:val="18"/>
                      <w:szCs w:val="18"/>
                    </w:rPr>
                    <w:t>部门)</w:t>
                  </w:r>
                  <w:r w:rsidRPr="00DB365C">
                    <w:rPr>
                      <w:rFonts w:ascii="宋体" w:hAnsi="宋体" w:hint="eastAsia"/>
                      <w:sz w:val="18"/>
                      <w:szCs w:val="18"/>
                    </w:rPr>
                    <w:t>负责人</w:t>
                  </w:r>
                </w:p>
              </w:txbxContent>
            </v:textbox>
          </v:shape>
        </w:pict>
      </w:r>
      <w:r w:rsidRPr="00134050">
        <w:rPr>
          <w:noProof/>
        </w:rPr>
        <w:pict>
          <v:shape id="_x0000_s2050" type="#_x0000_t176" style="position:absolute;margin-left:6.5pt;margin-top:16.5pt;width:42.6pt;height:35.4pt;z-index:1">
            <v:textbox style="mso-next-textbox:#_x0000_s2050" inset=".5mm,.3mm,.5mm,.3mm">
              <w:txbxContent>
                <w:p w:rsidR="00F57EBE" w:rsidRPr="00DB365C" w:rsidRDefault="00F57EBE" w:rsidP="00DF7E4F">
                  <w:pPr>
                    <w:spacing w:line="280" w:lineRule="exact"/>
                    <w:jc w:val="center"/>
                    <w:rPr>
                      <w:rFonts w:ascii="宋体" w:hAnsi="宋体"/>
                      <w:sz w:val="18"/>
                      <w:szCs w:val="18"/>
                    </w:rPr>
                  </w:pPr>
                  <w:r w:rsidRPr="00DB365C">
                    <w:rPr>
                      <w:rFonts w:ascii="宋体" w:hAnsi="宋体" w:hint="eastAsia"/>
                      <w:sz w:val="18"/>
                      <w:szCs w:val="18"/>
                    </w:rPr>
                    <w:t>货物采购计划编制</w:t>
                  </w:r>
                </w:p>
              </w:txbxContent>
            </v:textbox>
          </v:shape>
        </w:pict>
      </w:r>
      <w:r w:rsidR="00DF7E4F">
        <w:rPr>
          <w:rFonts w:ascii="宋体" w:hAnsi="宋体"/>
          <w:b/>
          <w:sz w:val="36"/>
          <w:szCs w:val="36"/>
        </w:rPr>
        <w:t xml:space="preserve"> </w:t>
      </w:r>
    </w:p>
    <w:p w:rsidR="00B7346B" w:rsidRDefault="00B7346B" w:rsidP="00B7346B">
      <w:pPr>
        <w:spacing w:line="160" w:lineRule="exact"/>
        <w:jc w:val="left"/>
        <w:rPr>
          <w:rFonts w:ascii="宋体" w:hAnsi="宋体"/>
          <w:b/>
          <w:sz w:val="36"/>
          <w:szCs w:val="36"/>
        </w:rPr>
      </w:pPr>
    </w:p>
    <w:p w:rsidR="00DF7E4F" w:rsidRDefault="00134050" w:rsidP="00DF7E4F">
      <w:pPr>
        <w:jc w:val="center"/>
        <w:rPr>
          <w:rFonts w:ascii="仿宋_GB2312" w:eastAsia="仿宋_GB2312"/>
          <w:b/>
          <w:sz w:val="24"/>
        </w:rPr>
      </w:pPr>
      <w:r w:rsidRPr="00134050">
        <w:rPr>
          <w:noProof/>
        </w:rPr>
        <w:pict>
          <v:shapetype id="_x0000_t32" coordsize="21600,21600" o:spt="32" o:oned="t" path="m,l21600,21600e" filled="f">
            <v:path arrowok="t" fillok="f" o:connecttype="none"/>
            <o:lock v:ext="edit" shapetype="t"/>
          </v:shapetype>
          <v:shape id="_x0000_s2051" type="#_x0000_t32" style="position:absolute;left:0;text-align:left;margin-left:50pt;margin-top:3.3pt;width:15.1pt;height:.15pt;z-index:2" o:connectortype="straight"/>
        </w:pict>
      </w:r>
      <w:r w:rsidRPr="00134050">
        <w:rPr>
          <w:noProof/>
        </w:rPr>
        <w:pict>
          <v:shape id="_x0000_s2053" type="#_x0000_t32" style="position:absolute;left:0;text-align:left;margin-left:269.4pt;margin-top:3.3pt;width:21.8pt;height:.15pt;z-index:4" o:connectortype="straight"/>
        </w:pict>
      </w:r>
      <w:r w:rsidRPr="00134050">
        <w:rPr>
          <w:noProof/>
        </w:rPr>
        <w:pict>
          <v:shape id="_x0000_s2055" type="#_x0000_t32" style="position:absolute;left:0;text-align:left;margin-left:599.3pt;margin-top:4.05pt;width:22pt;height:.6pt;flip:y;z-index:6" o:connectortype="straight"/>
        </w:pict>
      </w:r>
    </w:p>
    <w:p w:rsidR="00DF7E4F" w:rsidRDefault="00134050" w:rsidP="00DF7E4F">
      <w:pPr>
        <w:jc w:val="center"/>
        <w:rPr>
          <w:rFonts w:ascii="仿宋_GB2312" w:eastAsia="仿宋_GB2312"/>
          <w:b/>
          <w:sz w:val="24"/>
        </w:rPr>
      </w:pPr>
      <w:r w:rsidRPr="00134050">
        <w:rPr>
          <w:noProof/>
        </w:rPr>
        <w:pict>
          <v:shape id="_x0000_s2057" type="#_x0000_t32" style="position:absolute;left:0;text-align:left;margin-left:29.1pt;margin-top:5.7pt;width:.6pt;height:22.5pt;z-index:8" o:connectortype="straight">
            <v:stroke endarrow="block"/>
          </v:shape>
        </w:pict>
      </w:r>
    </w:p>
    <w:p w:rsidR="00DF7E4F" w:rsidRDefault="00134050" w:rsidP="00DF7E4F">
      <w:pPr>
        <w:jc w:val="center"/>
        <w:rPr>
          <w:rFonts w:ascii="仿宋_GB2312" w:eastAsia="仿宋_GB2312"/>
          <w:b/>
          <w:sz w:val="24"/>
        </w:rPr>
      </w:pPr>
      <w:r w:rsidRPr="00134050">
        <w:rPr>
          <w:noProof/>
        </w:rPr>
        <w:pict>
          <v:shape id="_x0000_s2062" type="#_x0000_t176" style="position:absolute;left:0;text-align:left;margin-left:309.5pt;margin-top:2.85pt;width:252.3pt;height:48.75pt;z-index:13">
            <v:textbox style="mso-next-textbox:#_x0000_s2062">
              <w:txbxContent>
                <w:p w:rsidR="00F57EBE" w:rsidRPr="00DB365C" w:rsidRDefault="00F57EBE" w:rsidP="00DF7E4F">
                  <w:pPr>
                    <w:spacing w:line="260" w:lineRule="exact"/>
                    <w:rPr>
                      <w:rFonts w:ascii="宋体" w:hAnsi="宋体"/>
                      <w:sz w:val="18"/>
                      <w:szCs w:val="18"/>
                    </w:rPr>
                  </w:pPr>
                  <w:r w:rsidRPr="00DB365C">
                    <w:rPr>
                      <w:rFonts w:ascii="宋体" w:hAnsi="宋体" w:hint="eastAsia"/>
                      <w:sz w:val="18"/>
                      <w:szCs w:val="18"/>
                    </w:rPr>
                    <w:t>防控措施：学校招标投标工作领导小组派出人员对论证过程进行全程监督，确保组织者、用户代表、专家各司其职，维护论证公正性。</w:t>
                  </w:r>
                </w:p>
              </w:txbxContent>
            </v:textbox>
          </v:shape>
        </w:pict>
      </w:r>
      <w:r w:rsidRPr="00134050">
        <w:rPr>
          <w:noProof/>
        </w:rPr>
        <w:pict>
          <v:shape id="_x0000_s2060" type="#_x0000_t176" style="position:absolute;left:0;text-align:left;margin-left:68.6pt;margin-top:2.1pt;width:216.8pt;height:48pt;z-index:11">
            <v:textbox style="mso-next-textbox:#_x0000_s2060" inset=".5mm,.3mm,.5mm,.3mm">
              <w:txbxContent>
                <w:p w:rsidR="00F57EBE" w:rsidRPr="00DB365C" w:rsidRDefault="00F57EBE" w:rsidP="00DF7E4F">
                  <w:pPr>
                    <w:spacing w:line="260" w:lineRule="exact"/>
                    <w:rPr>
                      <w:rFonts w:ascii="宋体" w:hAnsi="宋体"/>
                      <w:sz w:val="18"/>
                      <w:szCs w:val="18"/>
                    </w:rPr>
                  </w:pPr>
                  <w:r w:rsidRPr="00DB365C">
                    <w:rPr>
                      <w:rFonts w:ascii="宋体" w:hAnsi="宋体" w:hint="eastAsia"/>
                      <w:sz w:val="18"/>
                      <w:szCs w:val="18"/>
                    </w:rPr>
                    <w:t>风险点：货物购置论证、立项论证组织者参与论证，采购项目成员以论证专家身份参加论证，论证时未能严格控制预算，论证专家发表影响论证公正性的意见。</w:t>
                  </w:r>
                </w:p>
              </w:txbxContent>
            </v:textbox>
          </v:shape>
        </w:pict>
      </w:r>
      <w:r w:rsidRPr="00134050">
        <w:rPr>
          <w:noProof/>
        </w:rPr>
        <w:pict>
          <v:shape id="_x0000_s2064" type="#_x0000_t176" style="position:absolute;left:0;text-align:left;margin-left:587.2pt;margin-top:5.1pt;width:114.8pt;height:41.25pt;z-index:15">
            <v:textbox style="mso-next-textbox:#_x0000_s2064" inset=".5mm,.3mm,.5mm,.3mm">
              <w:txbxContent>
                <w:p w:rsidR="00F57EBE" w:rsidRPr="00DB365C" w:rsidRDefault="00F57EBE" w:rsidP="00DF7E4F">
                  <w:pPr>
                    <w:spacing w:line="300" w:lineRule="exact"/>
                    <w:rPr>
                      <w:rFonts w:ascii="宋体" w:hAnsi="宋体"/>
                      <w:sz w:val="18"/>
                      <w:szCs w:val="18"/>
                    </w:rPr>
                  </w:pPr>
                  <w:r w:rsidRPr="00DB365C">
                    <w:rPr>
                      <w:rFonts w:ascii="宋体" w:hAnsi="宋体" w:hint="eastAsia"/>
                      <w:sz w:val="18"/>
                      <w:szCs w:val="18"/>
                    </w:rPr>
                    <w:t>责任人：货物购置论证、立项论证组织者以及论证专家</w:t>
                  </w:r>
                </w:p>
              </w:txbxContent>
            </v:textbox>
          </v:shape>
        </w:pict>
      </w:r>
      <w:r w:rsidRPr="00134050">
        <w:rPr>
          <w:noProof/>
        </w:rPr>
        <w:pict>
          <v:shape id="_x0000_s2058" type="#_x0000_t176" style="position:absolute;left:0;text-align:left;margin-left:8.7pt;margin-top:11.85pt;width:42.5pt;height:35.25pt;z-index:9">
            <v:textbox style="mso-next-textbox:#_x0000_s2058" inset=".5mm,.3mm,.5mm,.3mm">
              <w:txbxContent>
                <w:p w:rsidR="00F57EBE" w:rsidRPr="00DB365C" w:rsidRDefault="00F57EBE" w:rsidP="00DF7E4F">
                  <w:pPr>
                    <w:spacing w:line="280" w:lineRule="exact"/>
                    <w:jc w:val="center"/>
                    <w:rPr>
                      <w:rFonts w:ascii="宋体" w:hAnsi="宋体"/>
                      <w:sz w:val="18"/>
                      <w:szCs w:val="18"/>
                    </w:rPr>
                  </w:pPr>
                  <w:r w:rsidRPr="00DB365C">
                    <w:rPr>
                      <w:rFonts w:ascii="宋体" w:hAnsi="宋体" w:hint="eastAsia"/>
                      <w:sz w:val="18"/>
                      <w:szCs w:val="18"/>
                    </w:rPr>
                    <w:t>货物采购项目论证</w:t>
                  </w:r>
                </w:p>
              </w:txbxContent>
            </v:textbox>
          </v:shape>
        </w:pict>
      </w:r>
      <w:r w:rsidR="00DF7E4F">
        <w:rPr>
          <w:rFonts w:ascii="仿宋_GB2312" w:eastAsia="仿宋_GB2312"/>
          <w:b/>
          <w:sz w:val="24"/>
        </w:rPr>
        <w:t xml:space="preserve">    </w:t>
      </w:r>
    </w:p>
    <w:p w:rsidR="00DF7E4F" w:rsidRPr="00301FAD" w:rsidRDefault="00134050" w:rsidP="00DF7E4F">
      <w:pPr>
        <w:rPr>
          <w:rFonts w:ascii="仿宋_GB2312" w:eastAsia="仿宋_GB2312"/>
          <w:sz w:val="24"/>
        </w:rPr>
      </w:pPr>
      <w:r w:rsidRPr="00134050">
        <w:rPr>
          <w:noProof/>
        </w:rPr>
        <w:pict>
          <v:shape id="_x0000_s2061" type="#_x0000_t32" style="position:absolute;left:0;text-align:left;margin-left:285.3pt;margin-top:9.75pt;width:22.4pt;height:.15pt;z-index:12" o:connectortype="straight"/>
        </w:pict>
      </w:r>
      <w:r w:rsidRPr="00134050">
        <w:rPr>
          <w:noProof/>
        </w:rPr>
        <w:pict>
          <v:shape id="_x0000_s2059" type="#_x0000_t32" style="position:absolute;left:0;text-align:left;margin-left:51.7pt;margin-top:9.75pt;width:16.6pt;height:.15pt;z-index:10" o:connectortype="straight"/>
        </w:pict>
      </w:r>
      <w:r w:rsidRPr="00134050">
        <w:rPr>
          <w:noProof/>
        </w:rPr>
        <w:pict>
          <v:shape id="_x0000_s2063" type="#_x0000_t32" style="position:absolute;left:0;text-align:left;margin-left:561.1pt;margin-top:7.5pt;width:25pt;height:.6pt;flip:y;z-index:14" o:connectortype="straight"/>
        </w:pict>
      </w:r>
    </w:p>
    <w:p w:rsidR="00DF7E4F" w:rsidRPr="00301FAD" w:rsidRDefault="00DF7E4F" w:rsidP="00DF7E4F">
      <w:pPr>
        <w:rPr>
          <w:rFonts w:ascii="仿宋_GB2312" w:eastAsia="仿宋_GB2312"/>
          <w:sz w:val="24"/>
        </w:rPr>
      </w:pPr>
    </w:p>
    <w:p w:rsidR="00DF7E4F" w:rsidRPr="00301FAD" w:rsidRDefault="00134050" w:rsidP="00DF7E4F">
      <w:pPr>
        <w:rPr>
          <w:rFonts w:ascii="仿宋_GB2312" w:eastAsia="仿宋_GB2312"/>
          <w:sz w:val="24"/>
        </w:rPr>
      </w:pPr>
      <w:r w:rsidRPr="00134050">
        <w:rPr>
          <w:noProof/>
        </w:rPr>
        <w:pict>
          <v:shape id="_x0000_s2072" type="#_x0000_t176" style="position:absolute;left:0;text-align:left;margin-left:582.4pt;margin-top:8.55pt;width:119.2pt;height:62.25pt;z-index:23">
            <v:textbox style="mso-next-textbox:#_x0000_s2072" inset=".5mm,.3mm,.5mm,.3mm">
              <w:txbxContent>
                <w:p w:rsidR="00F57EBE" w:rsidRPr="00DB365C" w:rsidRDefault="00F57EBE" w:rsidP="00DF7E4F">
                  <w:pPr>
                    <w:spacing w:line="260" w:lineRule="exact"/>
                    <w:rPr>
                      <w:rFonts w:ascii="宋体" w:hAnsi="宋体"/>
                      <w:sz w:val="18"/>
                      <w:szCs w:val="18"/>
                    </w:rPr>
                  </w:pPr>
                  <w:r w:rsidRPr="00DB365C">
                    <w:rPr>
                      <w:rFonts w:ascii="宋体" w:hAnsi="宋体" w:hint="eastAsia"/>
                      <w:sz w:val="18"/>
                      <w:szCs w:val="18"/>
                    </w:rPr>
                    <w:t>责任人：学校分管领导、物资</w:t>
                  </w:r>
                  <w:r>
                    <w:rPr>
                      <w:rFonts w:ascii="宋体" w:hAnsi="宋体" w:hint="eastAsia"/>
                      <w:sz w:val="18"/>
                      <w:szCs w:val="18"/>
                    </w:rPr>
                    <w:t>设备</w:t>
                  </w:r>
                  <w:r w:rsidRPr="00DB365C">
                    <w:rPr>
                      <w:rFonts w:ascii="宋体" w:hAnsi="宋体" w:hint="eastAsia"/>
                      <w:sz w:val="18"/>
                      <w:szCs w:val="18"/>
                    </w:rPr>
                    <w:t>采购主管部门、审计处、监察处与货物申购单位（</w:t>
                  </w:r>
                  <w:r w:rsidRPr="00DB365C">
                    <w:rPr>
                      <w:rFonts w:ascii="宋体" w:hAnsi="宋体" w:hint="eastAsia"/>
                      <w:sz w:val="18"/>
                      <w:szCs w:val="18"/>
                    </w:rPr>
                    <w:t>部门）相关工作人员</w:t>
                  </w:r>
                </w:p>
              </w:txbxContent>
            </v:textbox>
          </v:shape>
        </w:pict>
      </w:r>
      <w:r w:rsidRPr="00134050">
        <w:rPr>
          <w:noProof/>
        </w:rPr>
        <w:pict>
          <v:shape id="_x0000_s2070" type="#_x0000_t176" style="position:absolute;left:0;text-align:left;margin-left:180.7pt;margin-top:12.3pt;width:378.4pt;height:57.75pt;z-index:21">
            <v:textbox style="mso-next-textbox:#_x0000_s2070" inset=".5mm,.3mm,.5mm,.3mm">
              <w:txbxContent>
                <w:p w:rsidR="00F57EBE" w:rsidRPr="003F65BF" w:rsidRDefault="00F57EBE" w:rsidP="00DF7E4F">
                  <w:pPr>
                    <w:spacing w:line="260" w:lineRule="exact"/>
                    <w:rPr>
                      <w:rFonts w:ascii="仿宋_GB2312" w:eastAsia="仿宋_GB2312"/>
                      <w:b/>
                      <w:sz w:val="24"/>
                    </w:rPr>
                  </w:pPr>
                  <w:r w:rsidRPr="00DB365C">
                    <w:rPr>
                      <w:rFonts w:ascii="宋体" w:hAnsi="宋体" w:hint="eastAsia"/>
                      <w:sz w:val="18"/>
                      <w:szCs w:val="18"/>
                    </w:rPr>
                    <w:t>防控措施：实验室与设备管理处、审计处、监察处与货物申购单位（</w:t>
                  </w:r>
                  <w:r w:rsidRPr="00DB365C">
                    <w:rPr>
                      <w:rFonts w:ascii="宋体" w:hAnsi="宋体" w:hint="eastAsia"/>
                      <w:sz w:val="18"/>
                      <w:szCs w:val="18"/>
                    </w:rPr>
                    <w:t>部门）联合调研询价，概预算立项，填报立项审批表，经过招标投标办公室与审计处审批后，上报学校分管领导审批。物资（设备）采购达</w:t>
                  </w:r>
                  <w:r w:rsidRPr="00DB365C">
                    <w:rPr>
                      <w:rFonts w:ascii="宋体" w:hAnsi="宋体"/>
                      <w:sz w:val="18"/>
                      <w:szCs w:val="18"/>
                    </w:rPr>
                    <w:t>3</w:t>
                  </w:r>
                  <w:r w:rsidRPr="00DB365C">
                    <w:rPr>
                      <w:rFonts w:ascii="宋体" w:hAnsi="宋体" w:hint="eastAsia"/>
                      <w:sz w:val="18"/>
                      <w:szCs w:val="18"/>
                    </w:rPr>
                    <w:t>万元及以上的必须申报，校内集中采购达</w:t>
                  </w:r>
                  <w:r w:rsidRPr="00DB365C">
                    <w:rPr>
                      <w:rFonts w:ascii="宋体" w:hAnsi="宋体"/>
                      <w:sz w:val="18"/>
                      <w:szCs w:val="18"/>
                    </w:rPr>
                    <w:t>10</w:t>
                  </w:r>
                  <w:r w:rsidRPr="00DB365C">
                    <w:rPr>
                      <w:rFonts w:ascii="宋体" w:hAnsi="宋体" w:hint="eastAsia"/>
                      <w:sz w:val="18"/>
                      <w:szCs w:val="18"/>
                    </w:rPr>
                    <w:t>万元及以上的必须向财政局政府采购监管部门申报，预算超</w:t>
                  </w:r>
                  <w:r w:rsidRPr="00DB365C">
                    <w:rPr>
                      <w:rFonts w:ascii="宋体" w:hAnsi="宋体"/>
                      <w:sz w:val="18"/>
                      <w:szCs w:val="18"/>
                    </w:rPr>
                    <w:t>10</w:t>
                  </w:r>
                  <w:r w:rsidRPr="00DB365C">
                    <w:rPr>
                      <w:rFonts w:ascii="宋体" w:hAnsi="宋体" w:hint="eastAsia"/>
                      <w:sz w:val="18"/>
                      <w:szCs w:val="18"/>
                    </w:rPr>
                    <w:t>万元的还需经院长办公会集体讨论审批。</w:t>
                  </w:r>
                </w:p>
              </w:txbxContent>
            </v:textbox>
          </v:shape>
        </w:pict>
      </w:r>
      <w:r w:rsidRPr="00134050">
        <w:rPr>
          <w:noProof/>
        </w:rPr>
        <w:pict>
          <v:shape id="_x0000_s2065" type="#_x0000_t32" style="position:absolute;left:0;text-align:left;margin-left:29.6pt;margin-top:1.05pt;width:.5pt;height:19.5pt;z-index:16" o:connectortype="straight">
            <v:stroke endarrow="block"/>
          </v:shape>
        </w:pict>
      </w:r>
    </w:p>
    <w:p w:rsidR="00DF7E4F" w:rsidRPr="00301FAD" w:rsidRDefault="00134050" w:rsidP="00DF7E4F">
      <w:pPr>
        <w:rPr>
          <w:rFonts w:ascii="仿宋_GB2312" w:eastAsia="仿宋_GB2312"/>
          <w:sz w:val="24"/>
        </w:rPr>
      </w:pPr>
      <w:r w:rsidRPr="00134050">
        <w:rPr>
          <w:noProof/>
        </w:rPr>
        <w:pict>
          <v:shape id="_x0000_s2068" type="#_x0000_t176" style="position:absolute;left:0;text-align:left;margin-left:68.2pt;margin-top:1.2pt;width:90.1pt;height:47.1pt;z-index:19">
            <v:textbox style="mso-next-textbox:#_x0000_s2068" inset=".5mm,.3mm,.5mm,.3mm">
              <w:txbxContent>
                <w:p w:rsidR="00F57EBE" w:rsidRDefault="00F57EBE" w:rsidP="00DF7E4F">
                  <w:pPr>
                    <w:spacing w:line="260" w:lineRule="exact"/>
                  </w:pPr>
                  <w:r w:rsidRPr="00DB365C">
                    <w:rPr>
                      <w:rFonts w:ascii="宋体" w:hAnsi="宋体" w:hint="eastAsia"/>
                      <w:sz w:val="18"/>
                      <w:szCs w:val="18"/>
                    </w:rPr>
                    <w:t>风险点：项目预算不准确，价格制定偏高或偏低。</w:t>
                  </w:r>
                </w:p>
              </w:txbxContent>
            </v:textbox>
          </v:shape>
        </w:pict>
      </w:r>
      <w:r w:rsidRPr="00134050">
        <w:rPr>
          <w:noProof/>
        </w:rPr>
        <w:pict>
          <v:shape id="_x0000_s2066" type="#_x0000_t176" style="position:absolute;left:0;text-align:left;margin-left:8.1pt;margin-top:4.95pt;width:42.4pt;height:36pt;z-index:17">
            <v:textbox style="mso-next-textbox:#_x0000_s2066" inset=".5mm,.3mm,.5mm,.3mm">
              <w:txbxContent>
                <w:p w:rsidR="00F57EBE" w:rsidRPr="00DB365C" w:rsidRDefault="00F57EBE" w:rsidP="00DF7E4F">
                  <w:pPr>
                    <w:spacing w:line="280" w:lineRule="exact"/>
                    <w:jc w:val="center"/>
                    <w:rPr>
                      <w:rFonts w:ascii="宋体" w:hAnsi="宋体"/>
                      <w:sz w:val="18"/>
                      <w:szCs w:val="18"/>
                    </w:rPr>
                  </w:pPr>
                  <w:r w:rsidRPr="00DB365C">
                    <w:rPr>
                      <w:rFonts w:ascii="宋体" w:hAnsi="宋体" w:hint="eastAsia"/>
                      <w:sz w:val="18"/>
                      <w:szCs w:val="18"/>
                    </w:rPr>
                    <w:t>货物采购项目立项</w:t>
                  </w:r>
                </w:p>
              </w:txbxContent>
            </v:textbox>
          </v:shape>
        </w:pict>
      </w:r>
    </w:p>
    <w:p w:rsidR="00DF7E4F" w:rsidRPr="00301FAD" w:rsidRDefault="00134050" w:rsidP="00DF7E4F">
      <w:pPr>
        <w:rPr>
          <w:rFonts w:ascii="仿宋_GB2312" w:eastAsia="仿宋_GB2312"/>
          <w:sz w:val="24"/>
        </w:rPr>
      </w:pPr>
      <w:r w:rsidRPr="00134050">
        <w:rPr>
          <w:noProof/>
        </w:rPr>
        <w:pict>
          <v:shape id="_x0000_s2071" type="#_x0000_t32" style="position:absolute;left:0;text-align:left;margin-left:558.6pt;margin-top:6.6pt;width:25.8pt;height:.15pt;z-index:22" o:connectortype="straight"/>
        </w:pict>
      </w:r>
      <w:r w:rsidRPr="00134050">
        <w:rPr>
          <w:noProof/>
        </w:rPr>
        <w:pict>
          <v:shape id="_x0000_s2067" type="#_x0000_t32" style="position:absolute;left:0;text-align:left;margin-left:49.9pt;margin-top:5.7pt;width:18pt;height:.15pt;z-index:18" o:connectortype="straight"/>
        </w:pict>
      </w:r>
      <w:r w:rsidRPr="00134050">
        <w:rPr>
          <w:noProof/>
        </w:rPr>
        <w:pict>
          <v:shape id="_x0000_s2069" type="#_x0000_t32" style="position:absolute;left:0;text-align:left;margin-left:159.3pt;margin-top:7.95pt;width:21.8pt;height:.15pt;z-index:20" o:connectortype="straight"/>
        </w:pict>
      </w:r>
    </w:p>
    <w:p w:rsidR="00DF7E4F" w:rsidRDefault="00134050" w:rsidP="00DF7E4F">
      <w:pPr>
        <w:rPr>
          <w:rFonts w:ascii="仿宋_GB2312" w:eastAsia="仿宋_GB2312"/>
          <w:sz w:val="24"/>
        </w:rPr>
      </w:pPr>
      <w:r w:rsidRPr="00134050">
        <w:rPr>
          <w:noProof/>
        </w:rPr>
        <w:pict>
          <v:shape id="_x0000_s2073" type="#_x0000_t32" style="position:absolute;left:0;text-align:left;margin-left:29.6pt;margin-top:12pt;width:.05pt;height:19.5pt;flip:x;z-index:24" o:connectortype="straight">
            <v:stroke endarrow="block"/>
          </v:shape>
        </w:pict>
      </w:r>
    </w:p>
    <w:p w:rsidR="00DF7E4F" w:rsidRDefault="00134050" w:rsidP="00DF7E4F">
      <w:pPr>
        <w:rPr>
          <w:rFonts w:ascii="仿宋_GB2312" w:eastAsia="仿宋_GB2312"/>
          <w:sz w:val="24"/>
        </w:rPr>
      </w:pPr>
      <w:r w:rsidRPr="00134050">
        <w:rPr>
          <w:noProof/>
        </w:rPr>
        <w:pict>
          <v:shape id="_x0000_s2076" type="#_x0000_t176" style="position:absolute;left:0;text-align:left;margin-left:68.6pt;margin-top:13.65pt;width:135.7pt;height:43.65pt;z-index:27">
            <v:textbox style="mso-next-textbox:#_x0000_s2076"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风险点：招标信息是否公开，采购文件是否公平，评委专家是否公正。</w:t>
                  </w:r>
                </w:p>
              </w:txbxContent>
            </v:textbox>
          </v:shape>
        </w:pict>
      </w:r>
    </w:p>
    <w:p w:rsidR="00DF7E4F" w:rsidRDefault="00134050" w:rsidP="00DF7E4F">
      <w:pPr>
        <w:rPr>
          <w:rFonts w:ascii="仿宋_GB2312" w:eastAsia="仿宋_GB2312"/>
          <w:sz w:val="24"/>
        </w:rPr>
      </w:pPr>
      <w:r w:rsidRPr="00134050">
        <w:rPr>
          <w:noProof/>
        </w:rPr>
        <w:pict>
          <v:shape id="_x0000_s2080" type="#_x0000_t176" style="position:absolute;left:0;text-align:left;margin-left:579.2pt;margin-top:.9pt;width:125.4pt;height:46.65pt;z-index:31">
            <v:textbox style="mso-next-textbox:#_x0000_s2080"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责任人：</w:t>
                  </w:r>
                  <w:r>
                    <w:rPr>
                      <w:rFonts w:ascii="宋体" w:hAnsi="宋体" w:hint="eastAsia"/>
                      <w:sz w:val="18"/>
                      <w:szCs w:val="18"/>
                    </w:rPr>
                    <w:t>货物申购单位(部门)</w:t>
                  </w:r>
                  <w:r w:rsidRPr="00A4589A">
                    <w:rPr>
                      <w:rFonts w:ascii="宋体" w:hAnsi="宋体" w:hint="eastAsia"/>
                      <w:sz w:val="18"/>
                      <w:szCs w:val="18"/>
                    </w:rPr>
                    <w:t>、物资</w:t>
                  </w:r>
                  <w:r>
                    <w:rPr>
                      <w:rFonts w:ascii="宋体" w:hAnsi="宋体" w:hint="eastAsia"/>
                      <w:sz w:val="18"/>
                      <w:szCs w:val="18"/>
                    </w:rPr>
                    <w:t>设备</w:t>
                  </w:r>
                  <w:r w:rsidRPr="00A4589A">
                    <w:rPr>
                      <w:rFonts w:ascii="宋体" w:hAnsi="宋体" w:hint="eastAsia"/>
                      <w:sz w:val="18"/>
                      <w:szCs w:val="18"/>
                    </w:rPr>
                    <w:t>采购主管部门、审计处、监察处、财务处等部门负责人</w:t>
                  </w:r>
                </w:p>
              </w:txbxContent>
            </v:textbox>
          </v:shape>
        </w:pict>
      </w:r>
      <w:r w:rsidRPr="00134050">
        <w:rPr>
          <w:noProof/>
        </w:rPr>
        <w:pict>
          <v:shape id="_x0000_s2078" type="#_x0000_t176" style="position:absolute;left:0;text-align:left;margin-left:228.3pt;margin-top:.3pt;width:329pt;height:47.4pt;z-index:29">
            <v:textbox style="mso-next-textbox:#_x0000_s2078"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防控措施：</w:t>
                  </w:r>
                  <w:r w:rsidRPr="00A4589A">
                    <w:rPr>
                      <w:rFonts w:ascii="宋体" w:hAnsi="宋体"/>
                      <w:sz w:val="18"/>
                      <w:szCs w:val="18"/>
                    </w:rPr>
                    <w:t xml:space="preserve"> </w:t>
                  </w:r>
                  <w:r w:rsidRPr="00A4589A">
                    <w:rPr>
                      <w:rFonts w:ascii="宋体" w:hAnsi="宋体" w:hint="eastAsia"/>
                      <w:sz w:val="18"/>
                      <w:szCs w:val="18"/>
                    </w:rPr>
                    <w:t>所有采购文件经货物申购单位（部门）、实验室与设备管理处、审计处、监察处、财务处等部门会签，招标投标工作领导小组审批后，在学校招标投标信息平台上公布。招标投标监督小组对招标实施过程进行现场监督。</w:t>
                  </w:r>
                </w:p>
              </w:txbxContent>
            </v:textbox>
          </v:shape>
        </w:pict>
      </w:r>
      <w:r w:rsidRPr="00134050">
        <w:rPr>
          <w:noProof/>
        </w:rPr>
        <w:pict>
          <v:shape id="_x0000_s2074" type="#_x0000_t176" style="position:absolute;left:0;text-align:left;margin-left:7.5pt;margin-top:1.05pt;width:42.4pt;height:36.75pt;z-index:25">
            <v:textbox style="mso-next-textbox:#_x0000_s2074" inset=".5mm,.3mm,.5mm,.3mm">
              <w:txbxContent>
                <w:p w:rsidR="00F57EBE" w:rsidRPr="00A4589A" w:rsidRDefault="00F57EBE" w:rsidP="00DF7E4F">
                  <w:pPr>
                    <w:spacing w:line="280" w:lineRule="exact"/>
                    <w:jc w:val="center"/>
                    <w:rPr>
                      <w:rFonts w:ascii="宋体" w:hAnsi="宋体"/>
                      <w:sz w:val="18"/>
                      <w:szCs w:val="18"/>
                    </w:rPr>
                  </w:pPr>
                  <w:r w:rsidRPr="00A4589A">
                    <w:rPr>
                      <w:rFonts w:ascii="宋体" w:hAnsi="宋体" w:hint="eastAsia"/>
                      <w:sz w:val="18"/>
                      <w:szCs w:val="18"/>
                    </w:rPr>
                    <w:t>货物采购项目招标</w:t>
                  </w:r>
                </w:p>
              </w:txbxContent>
            </v:textbox>
          </v:shape>
        </w:pict>
      </w:r>
    </w:p>
    <w:p w:rsidR="00DF7E4F" w:rsidRDefault="00134050" w:rsidP="00DF7E4F">
      <w:pPr>
        <w:rPr>
          <w:rFonts w:ascii="仿宋_GB2312" w:eastAsia="仿宋_GB2312"/>
          <w:sz w:val="24"/>
        </w:rPr>
      </w:pPr>
      <w:r w:rsidRPr="00134050">
        <w:rPr>
          <w:noProof/>
        </w:rPr>
        <w:pict>
          <v:shape id="_x0000_s2079" type="#_x0000_t32" style="position:absolute;left:0;text-align:left;margin-left:558.7pt;margin-top:4.95pt;width:19pt;height:.15pt;z-index:30" o:connectortype="straight"/>
        </w:pict>
      </w:r>
      <w:r w:rsidRPr="00134050">
        <w:rPr>
          <w:noProof/>
        </w:rPr>
        <w:pict>
          <v:shape id="_x0000_s2075" type="#_x0000_t32" style="position:absolute;left:0;text-align:left;margin-left:49.8pt;margin-top:1.95pt;width:17.9pt;height:.15pt;z-index:26" o:connectortype="straight"/>
        </w:pict>
      </w:r>
      <w:r w:rsidRPr="00134050">
        <w:rPr>
          <w:noProof/>
        </w:rPr>
        <w:pict>
          <v:shape id="_x0000_s2077" type="#_x0000_t32" style="position:absolute;left:0;text-align:left;margin-left:203.7pt;margin-top:3.45pt;width:26.8pt;height:.15pt;z-index:28" o:connectortype="straight"/>
        </w:pict>
      </w:r>
    </w:p>
    <w:p w:rsidR="00DF7E4F" w:rsidRDefault="00134050" w:rsidP="00DF7E4F">
      <w:pPr>
        <w:rPr>
          <w:rFonts w:ascii="仿宋_GB2312" w:eastAsia="仿宋_GB2312"/>
          <w:sz w:val="24"/>
        </w:rPr>
      </w:pPr>
      <w:r w:rsidRPr="00134050">
        <w:rPr>
          <w:noProof/>
        </w:rPr>
        <w:pict>
          <v:shape id="_x0000_s2081" type="#_x0000_t32" style="position:absolute;left:0;text-align:left;margin-left:29.5pt;margin-top:7.35pt;width:.05pt;height:17.25pt;z-index:32" o:connectortype="straight">
            <v:stroke endarrow="block"/>
          </v:shape>
        </w:pict>
      </w:r>
    </w:p>
    <w:p w:rsidR="00DF7E4F" w:rsidRDefault="00134050" w:rsidP="00DF7E4F">
      <w:pPr>
        <w:rPr>
          <w:rFonts w:ascii="仿宋_GB2312" w:eastAsia="仿宋_GB2312"/>
          <w:sz w:val="24"/>
        </w:rPr>
      </w:pPr>
      <w:r w:rsidRPr="00134050">
        <w:rPr>
          <w:noProof/>
        </w:rPr>
        <w:pict>
          <v:shape id="_x0000_s2084" type="#_x0000_t176" style="position:absolute;left:0;text-align:left;margin-left:70.7pt;margin-top:12.9pt;width:151.5pt;height:30.15pt;z-index:35">
            <v:textbox style="mso-next-textbox:#_x0000_s2084" inset=".5mm,.3mm,.5mm,.3mm">
              <w:txbxContent>
                <w:p w:rsidR="00F57EBE" w:rsidRPr="00A4589A" w:rsidRDefault="00F57EBE" w:rsidP="00DF7E4F">
                  <w:pPr>
                    <w:spacing w:line="380" w:lineRule="exact"/>
                    <w:rPr>
                      <w:rFonts w:ascii="宋体" w:hAnsi="宋体"/>
                      <w:sz w:val="18"/>
                      <w:szCs w:val="18"/>
                    </w:rPr>
                  </w:pPr>
                  <w:r w:rsidRPr="00A4589A">
                    <w:rPr>
                      <w:rFonts w:ascii="宋体" w:hAnsi="宋体" w:hint="eastAsia"/>
                      <w:sz w:val="18"/>
                      <w:szCs w:val="18"/>
                    </w:rPr>
                    <w:t>风险点：是否按中标结果签合同。</w:t>
                  </w:r>
                </w:p>
              </w:txbxContent>
            </v:textbox>
          </v:shape>
        </w:pict>
      </w:r>
      <w:r w:rsidRPr="00134050">
        <w:rPr>
          <w:noProof/>
        </w:rPr>
        <w:pict>
          <v:shape id="_x0000_s2086" type="#_x0000_t176" style="position:absolute;left:0;text-align:left;margin-left:241.1pt;margin-top:11.4pt;width:238.9pt;height:32.4pt;z-index:37">
            <v:textbox style="mso-next-textbox:#_x0000_s2086"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防控措施：由货物申购单位（</w:t>
                  </w:r>
                  <w:r w:rsidRPr="00A4589A">
                    <w:rPr>
                      <w:rFonts w:ascii="宋体" w:hAnsi="宋体" w:hint="eastAsia"/>
                      <w:sz w:val="18"/>
                      <w:szCs w:val="18"/>
                    </w:rPr>
                    <w:t>部门）、审计处、财务处、招标投标办公室等部门对合同进行会签会审。</w:t>
                  </w:r>
                </w:p>
              </w:txbxContent>
            </v:textbox>
          </v:shape>
        </w:pict>
      </w:r>
      <w:r w:rsidRPr="00134050">
        <w:rPr>
          <w:noProof/>
        </w:rPr>
        <w:pict>
          <v:shape id="_x0000_s2088" type="#_x0000_t176" style="position:absolute;left:0;text-align:left;margin-left:505.9pt;margin-top:10.5pt;width:195pt;height:33.15pt;z-index:39">
            <v:textbox style="mso-next-textbox:#_x0000_s2088"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责任人：货物申购单位（</w:t>
                  </w:r>
                  <w:r w:rsidRPr="00A4589A">
                    <w:rPr>
                      <w:rFonts w:ascii="宋体" w:hAnsi="宋体" w:hint="eastAsia"/>
                      <w:sz w:val="18"/>
                      <w:szCs w:val="18"/>
                    </w:rPr>
                    <w:t>部门）、审计处、财务处、招标投标办公室等部门负责人</w:t>
                  </w:r>
                </w:p>
              </w:txbxContent>
            </v:textbox>
          </v:shape>
        </w:pict>
      </w:r>
      <w:r w:rsidRPr="00134050">
        <w:rPr>
          <w:noProof/>
        </w:rPr>
        <w:pict>
          <v:shape id="_x0000_s2090" type="#_x0000_t176" style="position:absolute;left:0;text-align:left;margin-left:8.2pt;margin-top:7.5pt;width:45.4pt;height:44.25pt;z-index:41">
            <v:textbox style="mso-next-textbox:#_x0000_s2090" inset=".5mm,.3mm,.5mm,.3mm">
              <w:txbxContent>
                <w:p w:rsidR="00F57EBE" w:rsidRPr="00A4589A" w:rsidRDefault="00F57EBE" w:rsidP="00DF7E4F">
                  <w:pPr>
                    <w:spacing w:line="260" w:lineRule="exact"/>
                    <w:jc w:val="center"/>
                    <w:rPr>
                      <w:rFonts w:ascii="宋体" w:hAnsi="宋体"/>
                      <w:sz w:val="18"/>
                      <w:szCs w:val="18"/>
                    </w:rPr>
                  </w:pPr>
                  <w:r w:rsidRPr="00A4589A">
                    <w:rPr>
                      <w:rFonts w:ascii="宋体" w:hAnsi="宋体" w:hint="eastAsia"/>
                      <w:sz w:val="18"/>
                      <w:szCs w:val="18"/>
                    </w:rPr>
                    <w:t>货物采购项目合同签署</w:t>
                  </w:r>
                </w:p>
              </w:txbxContent>
            </v:textbox>
          </v:shape>
        </w:pict>
      </w:r>
    </w:p>
    <w:p w:rsidR="00DF7E4F" w:rsidRDefault="00134050" w:rsidP="00DF7E4F">
      <w:pPr>
        <w:rPr>
          <w:rFonts w:ascii="仿宋_GB2312" w:eastAsia="仿宋_GB2312"/>
          <w:sz w:val="24"/>
        </w:rPr>
      </w:pPr>
      <w:r w:rsidRPr="00134050">
        <w:rPr>
          <w:noProof/>
        </w:rPr>
        <w:pict>
          <v:shape id="_x0000_s2083" type="#_x0000_t32" style="position:absolute;left:0;text-align:left;margin-left:52.8pt;margin-top:12.3pt;width:18.8pt;height:.3pt;z-index:34" o:connectortype="straight"/>
        </w:pict>
      </w:r>
      <w:r w:rsidRPr="00134050">
        <w:rPr>
          <w:noProof/>
        </w:rPr>
        <w:pict>
          <v:shape id="_x0000_s2085" type="#_x0000_t32" style="position:absolute;left:0;text-align:left;margin-left:222.4pt;margin-top:11.4pt;width:20.9pt;height:.15pt;z-index:36" o:connectortype="straight"/>
        </w:pict>
      </w:r>
      <w:r w:rsidRPr="00134050">
        <w:rPr>
          <w:noProof/>
        </w:rPr>
        <w:pict>
          <v:shape id="_x0000_s2087" type="#_x0000_t32" style="position:absolute;left:0;text-align:left;margin-left:480pt;margin-top:11.25pt;width:25.9pt;height:.15pt;z-index:38" o:connectortype="straight"/>
        </w:pict>
      </w:r>
    </w:p>
    <w:p w:rsidR="00DF7E4F" w:rsidRDefault="00DF7E4F" w:rsidP="00DF7E4F">
      <w:pPr>
        <w:rPr>
          <w:rFonts w:ascii="仿宋_GB2312" w:eastAsia="仿宋_GB2312"/>
          <w:sz w:val="24"/>
        </w:rPr>
      </w:pPr>
    </w:p>
    <w:p w:rsidR="00DF7E4F" w:rsidRDefault="00134050" w:rsidP="00DF7E4F">
      <w:pPr>
        <w:rPr>
          <w:rFonts w:ascii="仿宋_GB2312" w:eastAsia="仿宋_GB2312"/>
          <w:sz w:val="24"/>
        </w:rPr>
      </w:pPr>
      <w:r w:rsidRPr="00134050">
        <w:rPr>
          <w:noProof/>
        </w:rPr>
        <w:pict>
          <v:shape id="_x0000_s2092" type="#_x0000_t176" style="position:absolute;left:0;text-align:left;margin-left:71.5pt;margin-top:10.95pt;width:153.8pt;height:45.15pt;z-index:43">
            <v:textbox style="mso-next-textbox:#_x0000_s2092"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风险点：货物数量、配置和技术指标等与招标合同不符或者出现使用单位降格接受货物的情况</w:t>
                  </w:r>
                  <w:r w:rsidRPr="00A4589A">
                    <w:rPr>
                      <w:rFonts w:ascii="宋体" w:hAnsi="宋体" w:cs="宋体" w:hint="eastAsia"/>
                      <w:kern w:val="0"/>
                      <w:sz w:val="18"/>
                      <w:szCs w:val="18"/>
                    </w:rPr>
                    <w:t>。</w:t>
                  </w:r>
                </w:p>
              </w:txbxContent>
            </v:textbox>
          </v:shape>
        </w:pict>
      </w:r>
      <w:r w:rsidRPr="00134050">
        <w:rPr>
          <w:noProof/>
        </w:rPr>
        <w:pict>
          <v:shape id="_x0000_s2094" type="#_x0000_t176" style="position:absolute;left:0;text-align:left;margin-left:244.2pt;margin-top:9.45pt;width:236.7pt;height:45.9pt;z-index:45">
            <v:textbox style="mso-next-textbox:#_x0000_s2094"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防控措施：货物申购单位（部门）、实验室与设备管理处、招标投标办公室、监察处、审计处等多部门进行联合验收，确保货物质量。</w:t>
                  </w:r>
                </w:p>
              </w:txbxContent>
            </v:textbox>
          </v:shape>
        </w:pict>
      </w:r>
      <w:r w:rsidRPr="00134050">
        <w:rPr>
          <w:noProof/>
        </w:rPr>
        <w:pict>
          <v:shape id="_x0000_s2096" type="#_x0000_t176" style="position:absolute;left:0;text-align:left;margin-left:505pt;margin-top:7.2pt;width:198.1pt;height:45.15pt;z-index:47">
            <v:textbox style="mso-next-textbox:#_x0000_s2096"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责任人：货物申购单位（</w:t>
                  </w:r>
                  <w:r w:rsidRPr="00A4589A">
                    <w:rPr>
                      <w:rFonts w:ascii="宋体" w:hAnsi="宋体" w:hint="eastAsia"/>
                      <w:sz w:val="18"/>
                      <w:szCs w:val="18"/>
                    </w:rPr>
                    <w:t>部门）、物资</w:t>
                  </w:r>
                  <w:r>
                    <w:rPr>
                      <w:rFonts w:ascii="宋体" w:hAnsi="宋体" w:hint="eastAsia"/>
                      <w:sz w:val="18"/>
                      <w:szCs w:val="18"/>
                    </w:rPr>
                    <w:t>设备</w:t>
                  </w:r>
                  <w:r w:rsidRPr="00A4589A">
                    <w:rPr>
                      <w:rFonts w:ascii="宋体" w:hAnsi="宋体" w:hint="eastAsia"/>
                      <w:sz w:val="18"/>
                      <w:szCs w:val="18"/>
                    </w:rPr>
                    <w:t>采购主管部门、审计处、财务处、招标投标办公室等单位（部门）负责人</w:t>
                  </w:r>
                </w:p>
              </w:txbxContent>
            </v:textbox>
          </v:shape>
        </w:pict>
      </w:r>
      <w:r w:rsidRPr="00134050">
        <w:rPr>
          <w:noProof/>
        </w:rPr>
        <w:pict>
          <v:shape id="_x0000_s2089" type="#_x0000_t32" style="position:absolute;left:0;text-align:left;margin-left:31.1pt;margin-top:4.95pt;width:.7pt;height:15pt;z-index:40" o:connectortype="straight">
            <v:stroke endarrow="block"/>
          </v:shape>
        </w:pict>
      </w:r>
    </w:p>
    <w:p w:rsidR="00DF7E4F" w:rsidRDefault="00134050" w:rsidP="00DF7E4F">
      <w:pPr>
        <w:rPr>
          <w:rFonts w:ascii="仿宋_GB2312" w:eastAsia="仿宋_GB2312"/>
          <w:sz w:val="24"/>
        </w:rPr>
      </w:pPr>
      <w:r w:rsidRPr="00134050">
        <w:rPr>
          <w:noProof/>
        </w:rPr>
        <w:pict>
          <v:shape id="_x0000_s2095" type="#_x0000_t32" style="position:absolute;left:0;text-align:left;margin-left:481.7pt;margin-top:14.85pt;width:24.1pt;height:.15pt;z-index:46" o:connectortype="straight"/>
        </w:pict>
      </w:r>
      <w:r w:rsidRPr="00134050">
        <w:rPr>
          <w:noProof/>
        </w:rPr>
        <w:pict>
          <v:shape id="_x0000_s2082" type="#_x0000_t176" style="position:absolute;left:0;text-align:left;margin-left:6.8pt;margin-top:3.6pt;width:46.9pt;height:33.9pt;z-index:33">
            <v:textbox style="mso-next-textbox:#_x0000_s2082" inset=".5mm,.3mm,.5mm,.3mm">
              <w:txbxContent>
                <w:p w:rsidR="00F57EBE" w:rsidRPr="00A4589A" w:rsidRDefault="00F57EBE" w:rsidP="00DF7E4F">
                  <w:pPr>
                    <w:spacing w:line="280" w:lineRule="exact"/>
                    <w:jc w:val="center"/>
                    <w:rPr>
                      <w:rFonts w:ascii="宋体" w:hAnsi="宋体"/>
                      <w:sz w:val="18"/>
                      <w:szCs w:val="18"/>
                    </w:rPr>
                  </w:pPr>
                  <w:r w:rsidRPr="00A4589A">
                    <w:rPr>
                      <w:rFonts w:ascii="宋体" w:hAnsi="宋体" w:hint="eastAsia"/>
                      <w:sz w:val="18"/>
                      <w:szCs w:val="18"/>
                    </w:rPr>
                    <w:t>货物采购项目验收</w:t>
                  </w:r>
                </w:p>
              </w:txbxContent>
            </v:textbox>
          </v:shape>
        </w:pict>
      </w:r>
    </w:p>
    <w:p w:rsidR="00DF7E4F" w:rsidRDefault="00134050" w:rsidP="00DF7E4F">
      <w:pPr>
        <w:rPr>
          <w:rFonts w:ascii="仿宋_GB2312" w:eastAsia="仿宋_GB2312"/>
          <w:sz w:val="24"/>
        </w:rPr>
      </w:pPr>
      <w:r w:rsidRPr="00134050">
        <w:rPr>
          <w:noProof/>
        </w:rPr>
        <w:pict>
          <v:shape id="_x0000_s2093" type="#_x0000_t32" style="position:absolute;left:0;text-align:left;margin-left:224.8pt;margin-top:2.25pt;width:20.9pt;height:.15pt;z-index:44" o:connectortype="straight"/>
        </w:pict>
      </w:r>
      <w:r w:rsidRPr="00134050">
        <w:rPr>
          <w:noProof/>
        </w:rPr>
        <w:pict>
          <v:shape id="_x0000_s2091" type="#_x0000_t32" style="position:absolute;left:0;text-align:left;margin-left:52.8pt;margin-top:3.75pt;width:17.2pt;height:.15pt;z-index:42" o:connectortype="straight"/>
        </w:pict>
      </w:r>
    </w:p>
    <w:p w:rsidR="00DF7E4F" w:rsidRDefault="00134050" w:rsidP="00DF7E4F">
      <w:pPr>
        <w:rPr>
          <w:rFonts w:ascii="仿宋_GB2312" w:eastAsia="仿宋_GB2312"/>
          <w:sz w:val="24"/>
        </w:rPr>
      </w:pPr>
      <w:r w:rsidRPr="00134050">
        <w:rPr>
          <w:noProof/>
        </w:rPr>
        <w:pict>
          <v:shape id="_x0000_s2097" type="#_x0000_t32" style="position:absolute;left:0;text-align:left;margin-left:30.3pt;margin-top:6.15pt;width:.05pt;height:18.75pt;z-index:48" o:connectortype="straight">
            <v:stroke endarrow="block"/>
          </v:shape>
        </w:pict>
      </w:r>
    </w:p>
    <w:p w:rsidR="00DF7E4F" w:rsidRDefault="00134050" w:rsidP="00DF7E4F">
      <w:pPr>
        <w:rPr>
          <w:rFonts w:ascii="仿宋_GB2312" w:eastAsia="仿宋_GB2312"/>
          <w:sz w:val="24"/>
        </w:rPr>
      </w:pPr>
      <w:r w:rsidRPr="00134050">
        <w:rPr>
          <w:noProof/>
        </w:rPr>
        <w:pict>
          <v:shape id="_x0000_s2100" type="#_x0000_t176" style="position:absolute;left:0;text-align:left;margin-left:71.5pt;margin-top:9.3pt;width:153pt;height:36.1pt;z-index:51">
            <v:textbox style="mso-next-textbox:#_x0000_s2100"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风险点：未能按照结算程序进行结算或者未能及时与中标单位进行结算。</w:t>
                  </w:r>
                </w:p>
              </w:txbxContent>
            </v:textbox>
          </v:shape>
        </w:pict>
      </w:r>
      <w:r w:rsidRPr="00134050">
        <w:rPr>
          <w:noProof/>
        </w:rPr>
        <w:pict>
          <v:shape id="_x0000_s2102" type="#_x0000_t176" style="position:absolute;left:0;text-align:left;margin-left:244.9pt;margin-top:1.8pt;width:237.4pt;height:45.15pt;z-index:53">
            <v:textbox style="mso-next-textbox:#_x0000_s2102" inset=".5mm,.3mm,.5mm,.3mm">
              <w:txbxContent>
                <w:p w:rsidR="00F57EBE" w:rsidRPr="007420E4" w:rsidRDefault="00F57EBE" w:rsidP="00DF7E4F">
                  <w:pPr>
                    <w:spacing w:line="260" w:lineRule="exact"/>
                    <w:rPr>
                      <w:rFonts w:ascii="宋体" w:hAnsi="宋体"/>
                      <w:sz w:val="18"/>
                      <w:szCs w:val="18"/>
                    </w:rPr>
                  </w:pPr>
                  <w:r w:rsidRPr="00A4589A">
                    <w:rPr>
                      <w:rFonts w:ascii="宋体" w:hAnsi="宋体" w:hint="eastAsia"/>
                      <w:sz w:val="18"/>
                      <w:szCs w:val="18"/>
                    </w:rPr>
                    <w:t>防控措施：严格按照结算程序进行结算，及时办结，不断提高工作效率。若未能及时进行结算，应提前三天告知中标单位。</w:t>
                  </w:r>
                </w:p>
              </w:txbxContent>
            </v:textbox>
          </v:shape>
        </w:pict>
      </w:r>
      <w:r w:rsidRPr="00134050">
        <w:rPr>
          <w:noProof/>
        </w:rPr>
        <w:pict>
          <v:shape id="_x0000_s2104" type="#_x0000_t176" style="position:absolute;left:0;text-align:left;margin-left:505.9pt;margin-top:.3pt;width:196.5pt;height:47.4pt;z-index:55">
            <v:textbox style="mso-next-textbox:#_x0000_s2104" inset=".5mm,.3mm,.5mm,.3mm">
              <w:txbxContent>
                <w:p w:rsidR="00F57EBE" w:rsidRPr="00A4589A" w:rsidRDefault="00F57EBE" w:rsidP="00DF7E4F">
                  <w:pPr>
                    <w:spacing w:line="260" w:lineRule="exact"/>
                    <w:rPr>
                      <w:rFonts w:ascii="宋体" w:hAnsi="宋体"/>
                      <w:sz w:val="18"/>
                      <w:szCs w:val="18"/>
                    </w:rPr>
                  </w:pPr>
                  <w:r w:rsidRPr="00A4589A">
                    <w:rPr>
                      <w:rFonts w:ascii="宋体" w:hAnsi="宋体" w:hint="eastAsia"/>
                      <w:sz w:val="18"/>
                      <w:szCs w:val="18"/>
                    </w:rPr>
                    <w:t>责任人：货物申购单位（部门）、物资</w:t>
                  </w:r>
                  <w:r>
                    <w:rPr>
                      <w:rFonts w:ascii="宋体" w:hAnsi="宋体" w:hint="eastAsia"/>
                      <w:sz w:val="18"/>
                      <w:szCs w:val="18"/>
                    </w:rPr>
                    <w:t>设备</w:t>
                  </w:r>
                  <w:r w:rsidRPr="00A4589A">
                    <w:rPr>
                      <w:rFonts w:ascii="宋体" w:hAnsi="宋体" w:hint="eastAsia"/>
                      <w:sz w:val="18"/>
                      <w:szCs w:val="18"/>
                    </w:rPr>
                    <w:t>采购主管部门、审计处、财务处、招标投标办公室等单位（部门）负责人</w:t>
                  </w:r>
                </w:p>
              </w:txbxContent>
            </v:textbox>
          </v:shape>
        </w:pict>
      </w:r>
      <w:r w:rsidRPr="00134050">
        <w:rPr>
          <w:noProof/>
        </w:rPr>
        <w:pict>
          <v:shape id="_x0000_s2098" type="#_x0000_t176" style="position:absolute;left:0;text-align:left;margin-left:6.1pt;margin-top:7.8pt;width:46.9pt;height:37.65pt;z-index:49">
            <v:textbox style="mso-next-textbox:#_x0000_s2098" inset=".5mm,.3mm,.5mm,.3mm">
              <w:txbxContent>
                <w:p w:rsidR="00F57EBE" w:rsidRPr="00A4589A" w:rsidRDefault="00F57EBE" w:rsidP="00DF7E4F">
                  <w:pPr>
                    <w:spacing w:line="280" w:lineRule="exact"/>
                    <w:jc w:val="center"/>
                    <w:rPr>
                      <w:rFonts w:ascii="宋体" w:hAnsi="宋体"/>
                      <w:sz w:val="18"/>
                      <w:szCs w:val="18"/>
                    </w:rPr>
                  </w:pPr>
                  <w:r w:rsidRPr="00A4589A">
                    <w:rPr>
                      <w:rFonts w:ascii="宋体" w:hAnsi="宋体" w:hint="eastAsia"/>
                      <w:sz w:val="18"/>
                      <w:szCs w:val="18"/>
                    </w:rPr>
                    <w:t>货物采购项目结算</w:t>
                  </w:r>
                </w:p>
              </w:txbxContent>
            </v:textbox>
          </v:shape>
        </w:pict>
      </w:r>
    </w:p>
    <w:p w:rsidR="00EA4807" w:rsidRPr="0083702D" w:rsidRDefault="00134050" w:rsidP="0083702D">
      <w:pPr>
        <w:rPr>
          <w:rFonts w:ascii="仿宋_GB2312" w:eastAsia="仿宋_GB2312"/>
          <w:sz w:val="24"/>
        </w:rPr>
      </w:pPr>
      <w:r w:rsidRPr="00134050">
        <w:rPr>
          <w:noProof/>
        </w:rPr>
        <w:pict>
          <v:shape id="_x0000_s2099" type="#_x0000_t32" style="position:absolute;left:0;text-align:left;margin-left:53.6pt;margin-top:12.45pt;width:16.5pt;height:.15pt;z-index:50" o:connectortype="straight"/>
        </w:pict>
      </w:r>
      <w:r w:rsidRPr="00134050">
        <w:rPr>
          <w:noProof/>
        </w:rPr>
        <w:pict>
          <v:shape id="_x0000_s2101" type="#_x0000_t32" style="position:absolute;left:0;text-align:left;margin-left:223.1pt;margin-top:9.45pt;width:23.2pt;height:.6pt;flip:y;z-index:52" o:connectortype="straight"/>
        </w:pict>
      </w:r>
      <w:r w:rsidRPr="00134050">
        <w:rPr>
          <w:noProof/>
        </w:rPr>
        <w:pict>
          <v:shape id="_x0000_s2103" type="#_x0000_t32" style="position:absolute;left:0;text-align:left;margin-left:481.6pt;margin-top:8.7pt;width:22.9pt;height:.15pt;z-index:54" o:connectortype="straight"/>
        </w:pict>
      </w:r>
    </w:p>
    <w:sectPr w:rsidR="00EA4807" w:rsidRPr="0083702D" w:rsidSect="0083702D">
      <w:pgSz w:w="16838" w:h="11906" w:orient="landscape" w:code="9"/>
      <w:pgMar w:top="1418" w:right="1418" w:bottom="1418" w:left="1418" w:header="851" w:footer="992" w:gutter="0"/>
      <w:pgNumType w:fmt="numberInDash"/>
      <w:cols w:space="425"/>
      <w:docGrid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D91" w:rsidRDefault="000D4D91">
      <w:r>
        <w:separator/>
      </w:r>
    </w:p>
  </w:endnote>
  <w:endnote w:type="continuationSeparator" w:id="0">
    <w:p w:rsidR="000D4D91" w:rsidRDefault="000D4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D91" w:rsidRDefault="000D4D91">
      <w:r>
        <w:separator/>
      </w:r>
    </w:p>
  </w:footnote>
  <w:footnote w:type="continuationSeparator" w:id="0">
    <w:p w:rsidR="000D4D91" w:rsidRDefault="000D4D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201"/>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4807"/>
    <w:rsid w:val="00060AAD"/>
    <w:rsid w:val="00075B72"/>
    <w:rsid w:val="000764AA"/>
    <w:rsid w:val="00084EAB"/>
    <w:rsid w:val="00091833"/>
    <w:rsid w:val="000C7DE4"/>
    <w:rsid w:val="000D4D91"/>
    <w:rsid w:val="00116865"/>
    <w:rsid w:val="00117A7F"/>
    <w:rsid w:val="001223C5"/>
    <w:rsid w:val="00123F5F"/>
    <w:rsid w:val="00134050"/>
    <w:rsid w:val="001379BE"/>
    <w:rsid w:val="00184FE9"/>
    <w:rsid w:val="001A11E6"/>
    <w:rsid w:val="001A6C09"/>
    <w:rsid w:val="001F7741"/>
    <w:rsid w:val="002217E3"/>
    <w:rsid w:val="00222100"/>
    <w:rsid w:val="00255B01"/>
    <w:rsid w:val="00267A34"/>
    <w:rsid w:val="002C420B"/>
    <w:rsid w:val="002F3B02"/>
    <w:rsid w:val="00316D14"/>
    <w:rsid w:val="00333565"/>
    <w:rsid w:val="003437A2"/>
    <w:rsid w:val="0037221A"/>
    <w:rsid w:val="00373BEE"/>
    <w:rsid w:val="00393BC2"/>
    <w:rsid w:val="003C04AA"/>
    <w:rsid w:val="003C0C34"/>
    <w:rsid w:val="003D1715"/>
    <w:rsid w:val="003F3C99"/>
    <w:rsid w:val="003F71C0"/>
    <w:rsid w:val="004559CE"/>
    <w:rsid w:val="004607D4"/>
    <w:rsid w:val="00467934"/>
    <w:rsid w:val="004733F9"/>
    <w:rsid w:val="00480297"/>
    <w:rsid w:val="004B677F"/>
    <w:rsid w:val="004D79F8"/>
    <w:rsid w:val="00501F09"/>
    <w:rsid w:val="00531F76"/>
    <w:rsid w:val="00535EE6"/>
    <w:rsid w:val="00543407"/>
    <w:rsid w:val="005640E7"/>
    <w:rsid w:val="00582744"/>
    <w:rsid w:val="005A7A39"/>
    <w:rsid w:val="005C100C"/>
    <w:rsid w:val="005D7076"/>
    <w:rsid w:val="00636C9C"/>
    <w:rsid w:val="006B40A3"/>
    <w:rsid w:val="006D1D7F"/>
    <w:rsid w:val="007711AE"/>
    <w:rsid w:val="007755E6"/>
    <w:rsid w:val="007874D6"/>
    <w:rsid w:val="007A1241"/>
    <w:rsid w:val="007D06DD"/>
    <w:rsid w:val="007F7752"/>
    <w:rsid w:val="00811BAB"/>
    <w:rsid w:val="0083702D"/>
    <w:rsid w:val="008441EA"/>
    <w:rsid w:val="00880ECA"/>
    <w:rsid w:val="008B5DF9"/>
    <w:rsid w:val="008C2F87"/>
    <w:rsid w:val="008D19C7"/>
    <w:rsid w:val="009065B0"/>
    <w:rsid w:val="00935AF4"/>
    <w:rsid w:val="00960108"/>
    <w:rsid w:val="00972563"/>
    <w:rsid w:val="009741E2"/>
    <w:rsid w:val="00995AEE"/>
    <w:rsid w:val="009C3834"/>
    <w:rsid w:val="009E147E"/>
    <w:rsid w:val="00A02B8E"/>
    <w:rsid w:val="00A03D02"/>
    <w:rsid w:val="00A06B2C"/>
    <w:rsid w:val="00A06F7E"/>
    <w:rsid w:val="00A21CAE"/>
    <w:rsid w:val="00A235D5"/>
    <w:rsid w:val="00A47A21"/>
    <w:rsid w:val="00A93D05"/>
    <w:rsid w:val="00AD028E"/>
    <w:rsid w:val="00AD5E2E"/>
    <w:rsid w:val="00B06944"/>
    <w:rsid w:val="00B209FD"/>
    <w:rsid w:val="00B31ECC"/>
    <w:rsid w:val="00B42398"/>
    <w:rsid w:val="00B52D7A"/>
    <w:rsid w:val="00B6464F"/>
    <w:rsid w:val="00B7346B"/>
    <w:rsid w:val="00B74AAD"/>
    <w:rsid w:val="00B94194"/>
    <w:rsid w:val="00BB1C27"/>
    <w:rsid w:val="00C01DE9"/>
    <w:rsid w:val="00C07E9E"/>
    <w:rsid w:val="00C411BF"/>
    <w:rsid w:val="00C4304D"/>
    <w:rsid w:val="00C95EE9"/>
    <w:rsid w:val="00CF12A9"/>
    <w:rsid w:val="00D06142"/>
    <w:rsid w:val="00D124CC"/>
    <w:rsid w:val="00D40F54"/>
    <w:rsid w:val="00D55AC3"/>
    <w:rsid w:val="00D56FF4"/>
    <w:rsid w:val="00D7033E"/>
    <w:rsid w:val="00D8477E"/>
    <w:rsid w:val="00D94A75"/>
    <w:rsid w:val="00DE008B"/>
    <w:rsid w:val="00DF0875"/>
    <w:rsid w:val="00DF1A43"/>
    <w:rsid w:val="00DF1D32"/>
    <w:rsid w:val="00DF7E4F"/>
    <w:rsid w:val="00E25ABB"/>
    <w:rsid w:val="00E463DC"/>
    <w:rsid w:val="00E71ADB"/>
    <w:rsid w:val="00E97D68"/>
    <w:rsid w:val="00EA0558"/>
    <w:rsid w:val="00EA4807"/>
    <w:rsid w:val="00F3194F"/>
    <w:rsid w:val="00F57794"/>
    <w:rsid w:val="00F57C15"/>
    <w:rsid w:val="00F57EBE"/>
    <w:rsid w:val="00F660B2"/>
    <w:rsid w:val="00F743D9"/>
    <w:rsid w:val="00F86A2F"/>
    <w:rsid w:val="00FC04E3"/>
    <w:rsid w:val="00FF73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rules v:ext="edit">
        <o:r id="V:Rule1" type="connector" idref="#_x0000_s2051"/>
        <o:r id="V:Rule2" type="connector" idref="#_x0000_s2053"/>
        <o:r id="V:Rule3" type="connector" idref="#_x0000_s2055"/>
        <o:r id="V:Rule4" type="connector" idref="#_x0000_s2057"/>
        <o:r id="V:Rule5" type="connector" idref="#_x0000_s2061"/>
        <o:r id="V:Rule6" type="connector" idref="#_x0000_s2059"/>
        <o:r id="V:Rule7" type="connector" idref="#_x0000_s2063"/>
        <o:r id="V:Rule8" type="connector" idref="#_x0000_s2065"/>
        <o:r id="V:Rule9" type="connector" idref="#_x0000_s2071"/>
        <o:r id="V:Rule10" type="connector" idref="#_x0000_s2067"/>
        <o:r id="V:Rule11" type="connector" idref="#_x0000_s2069"/>
        <o:r id="V:Rule12" type="connector" idref="#_x0000_s2073"/>
        <o:r id="V:Rule13" type="connector" idref="#_x0000_s2079"/>
        <o:r id="V:Rule14" type="connector" idref="#_x0000_s2075"/>
        <o:r id="V:Rule15" type="connector" idref="#_x0000_s2077"/>
        <o:r id="V:Rule16" type="connector" idref="#_x0000_s2081"/>
        <o:r id="V:Rule17" type="connector" idref="#_x0000_s2083"/>
        <o:r id="V:Rule18" type="connector" idref="#_x0000_s2085"/>
        <o:r id="V:Rule19" type="connector" idref="#_x0000_s2087"/>
        <o:r id="V:Rule20" type="connector" idref="#_x0000_s2089"/>
        <o:r id="V:Rule21" type="connector" idref="#_x0000_s2095"/>
        <o:r id="V:Rule22" type="connector" idref="#_x0000_s2093"/>
        <o:r id="V:Rule23" type="connector" idref="#_x0000_s2091"/>
        <o:r id="V:Rule24" type="connector" idref="#_x0000_s2097"/>
        <o:r id="V:Rule25" type="connector" idref="#_x0000_s2099"/>
        <o:r id="V:Rule26" type="connector" idref="#_x0000_s2101"/>
        <o:r id="V:Rule27" type="connector" idref="#_x0000_s2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48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A4807"/>
    <w:pPr>
      <w:tabs>
        <w:tab w:val="center" w:pos="4153"/>
        <w:tab w:val="right" w:pos="8306"/>
      </w:tabs>
      <w:snapToGrid w:val="0"/>
      <w:jc w:val="left"/>
    </w:pPr>
    <w:rPr>
      <w:sz w:val="18"/>
      <w:szCs w:val="18"/>
    </w:rPr>
  </w:style>
  <w:style w:type="character" w:styleId="a4">
    <w:name w:val="page number"/>
    <w:basedOn w:val="a0"/>
    <w:rsid w:val="00EA4807"/>
  </w:style>
  <w:style w:type="paragraph" w:styleId="a5">
    <w:name w:val="Date"/>
    <w:basedOn w:val="a"/>
    <w:next w:val="a"/>
    <w:rsid w:val="00EA4807"/>
    <w:pPr>
      <w:ind w:leftChars="2500" w:left="100"/>
    </w:pPr>
  </w:style>
  <w:style w:type="paragraph" w:styleId="a6">
    <w:name w:val="Normal (Web)"/>
    <w:basedOn w:val="a"/>
    <w:rsid w:val="00DF1D32"/>
    <w:pPr>
      <w:widowControl/>
      <w:spacing w:before="100" w:beforeAutospacing="1" w:after="100" w:afterAutospacing="1"/>
      <w:jc w:val="left"/>
    </w:pPr>
    <w:rPr>
      <w:rFonts w:ascii="宋体" w:hAnsi="宋体" w:cs="宋体"/>
      <w:kern w:val="0"/>
      <w:sz w:val="24"/>
    </w:rPr>
  </w:style>
  <w:style w:type="paragraph" w:styleId="a7">
    <w:name w:val="header"/>
    <w:basedOn w:val="a"/>
    <w:rsid w:val="00184FE9"/>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Words>
  <Characters>95</Characters>
  <Application>Microsoft Office Word</Application>
  <DocSecurity>0</DocSecurity>
  <Lines>1</Lines>
  <Paragraphs>1</Paragraphs>
  <ScaleCrop>false</ScaleCrop>
  <Company>微软中国</Company>
  <LinksUpToDate>false</LinksUpToDate>
  <CharactersWithSpaces>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纪委货物采购廉政风险防控实施办法42号</dc:title>
  <dc:creator>微软用户</dc:creator>
  <cp:lastModifiedBy>lenovo</cp:lastModifiedBy>
  <cp:revision>3</cp:revision>
  <cp:lastPrinted>2014-06-20T03:33:00Z</cp:lastPrinted>
  <dcterms:created xsi:type="dcterms:W3CDTF">2014-06-25T03:00:00Z</dcterms:created>
  <dcterms:modified xsi:type="dcterms:W3CDTF">2014-06-25T03:01:00Z</dcterms:modified>
</cp:coreProperties>
</file>